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left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宿州市</w:t>
      </w:r>
      <w:r>
        <w:rPr>
          <w:rFonts w:hint="eastAsia" w:ascii="方正小标宋简体" w:hAnsi="方正小标宋简体" w:eastAsia="方正小标宋简体" w:cs="方正小标宋简体"/>
          <w:sz w:val="44"/>
          <w:szCs w:val="44"/>
        </w:rPr>
        <w:t>关于营造更好发展环境支持</w:t>
      </w:r>
    </w:p>
    <w:p>
      <w:pPr>
        <w:keepNext w:val="0"/>
        <w:keepLines w:val="0"/>
        <w:pageBreakBefore w:val="0"/>
        <w:kinsoku/>
        <w:wordWrap/>
        <w:overflowPunct/>
        <w:topLinePunct w:val="0"/>
        <w:autoSpaceDE/>
        <w:autoSpaceDN/>
        <w:bidi w:val="0"/>
        <w:adjustRightInd/>
        <w:snapToGrid/>
        <w:spacing w:line="240" w:lineRule="auto"/>
        <w:ind w:left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民营企业改革发展的</w:t>
      </w:r>
      <w:r>
        <w:rPr>
          <w:rFonts w:hint="eastAsia" w:ascii="方正小标宋简体" w:hAnsi="方正小标宋简体" w:eastAsia="方正小标宋简体" w:cs="方正小标宋简体"/>
          <w:sz w:val="44"/>
          <w:szCs w:val="44"/>
          <w:lang w:eastAsia="zh-CN"/>
        </w:rPr>
        <w:t>实施方案</w:t>
      </w:r>
    </w:p>
    <w:p>
      <w:pPr>
        <w:keepNext w:val="0"/>
        <w:keepLines w:val="0"/>
        <w:pageBreakBefore w:val="0"/>
        <w:kinsoku/>
        <w:wordWrap/>
        <w:overflowPunct/>
        <w:topLinePunct w:val="0"/>
        <w:autoSpaceDE/>
        <w:autoSpaceDN/>
        <w:bidi w:val="0"/>
        <w:adjustRightInd/>
        <w:snapToGrid/>
        <w:spacing w:line="240" w:lineRule="auto"/>
        <w:ind w:leftChars="0" w:firstLine="640" w:firstLineChars="200"/>
        <w:rPr>
          <w:rFonts w:eastAsia="方正仿宋_GBK"/>
          <w:color w:val="000000"/>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240" w:lineRule="auto"/>
        <w:ind w:leftChars="0" w:firstLine="640" w:firstLineChars="200"/>
        <w:rPr>
          <w:rFonts w:hint="eastAsia" w:ascii="仿宋_GB2312" w:hAnsi="仿宋_GB2312" w:eastAsia="仿宋_GB2312" w:cs="仿宋_GB2312"/>
          <w:b w:val="0"/>
          <w:bCs w:val="0"/>
          <w:i w:val="0"/>
          <w:iCs w:val="0"/>
          <w:sz w:val="32"/>
          <w:szCs w:val="32"/>
          <w:lang w:eastAsia="zh-CN"/>
        </w:rPr>
      </w:pPr>
      <w:r>
        <w:rPr>
          <w:rFonts w:hint="eastAsia" w:ascii="仿宋_GB2312" w:hAnsi="仿宋_GB2312" w:eastAsia="仿宋_GB2312" w:cs="仿宋_GB2312"/>
          <w:b w:val="0"/>
          <w:bCs w:val="0"/>
          <w:i w:val="0"/>
          <w:iCs w:val="0"/>
          <w:sz w:val="32"/>
          <w:szCs w:val="32"/>
          <w:lang w:eastAsia="zh-CN"/>
        </w:rPr>
        <w:t>为全面贯彻落实习近平总书记关于大力支持民营经济发展的重要指示精神，促进我市民营经济发展，根据《中共安徽省委</w:t>
      </w:r>
      <w:r>
        <w:rPr>
          <w:rFonts w:hint="eastAsia" w:ascii="仿宋_GB2312" w:hAnsi="仿宋_GB2312" w:eastAsia="仿宋_GB2312" w:cs="仿宋_GB2312"/>
          <w:b w:val="0"/>
          <w:bCs w:val="0"/>
          <w:i w:val="0"/>
          <w:iCs w:val="0"/>
          <w:sz w:val="32"/>
          <w:szCs w:val="32"/>
          <w:lang w:val="en-US" w:eastAsia="zh-CN"/>
        </w:rPr>
        <w:t xml:space="preserve"> </w:t>
      </w:r>
      <w:r>
        <w:rPr>
          <w:rFonts w:hint="eastAsia" w:ascii="仿宋_GB2312" w:hAnsi="仿宋_GB2312" w:eastAsia="仿宋_GB2312" w:cs="仿宋_GB2312"/>
          <w:b w:val="0"/>
          <w:bCs w:val="0"/>
          <w:i w:val="0"/>
          <w:iCs w:val="0"/>
          <w:sz w:val="32"/>
          <w:szCs w:val="32"/>
          <w:lang w:eastAsia="zh-CN"/>
        </w:rPr>
        <w:t>安徽省人民政府关于营造更好发展环境支持民营企业改革发展的实施意见》，进一步激发我市民营企业活力和创造力，扎实做好“六稳”工作、全面落实“六保”任务，推进民营经济实现高质量发展，现结合我市实际，提出以下实施意见。</w:t>
      </w:r>
    </w:p>
    <w:p>
      <w:pPr>
        <w:keepNext w:val="0"/>
        <w:keepLines w:val="0"/>
        <w:pageBreakBefore w:val="0"/>
        <w:kinsoku/>
        <w:wordWrap/>
        <w:overflowPunct/>
        <w:topLinePunct w:val="0"/>
        <w:autoSpaceDE/>
        <w:autoSpaceDN/>
        <w:bidi w:val="0"/>
        <w:adjustRightInd/>
        <w:snapToGrid/>
        <w:spacing w:line="240" w:lineRule="auto"/>
        <w:ind w:leftChars="0" w:firstLine="640" w:firstLineChars="200"/>
        <w:rPr>
          <w:rFonts w:hint="eastAsia" w:eastAsia="方正仿宋_GBK"/>
          <w:b/>
          <w:bCs/>
          <w:color w:val="000000"/>
          <w:sz w:val="32"/>
          <w:szCs w:val="32"/>
          <w:lang w:eastAsia="zh-CN"/>
        </w:rPr>
      </w:pPr>
      <w:r>
        <w:rPr>
          <w:rFonts w:hint="eastAsia" w:eastAsia="方正仿宋_GBK"/>
          <w:b/>
          <w:bCs/>
          <w:color w:val="000000"/>
          <w:sz w:val="32"/>
          <w:szCs w:val="32"/>
          <w:lang w:eastAsia="zh-CN"/>
        </w:rPr>
        <w:t>一、优化公平竞争的市场环境</w:t>
      </w:r>
    </w:p>
    <w:p>
      <w:pPr>
        <w:keepNext w:val="0"/>
        <w:keepLines w:val="0"/>
        <w:pageBreakBefore w:val="0"/>
        <w:kinsoku/>
        <w:wordWrap/>
        <w:overflowPunct/>
        <w:topLinePunct w:val="0"/>
        <w:autoSpaceDE/>
        <w:autoSpaceDN/>
        <w:bidi w:val="0"/>
        <w:adjustRightInd/>
        <w:snapToGrid/>
        <w:spacing w:line="240" w:lineRule="auto"/>
        <w:ind w:leftChars="0" w:firstLine="640" w:firstLineChars="200"/>
        <w:rPr>
          <w:rFonts w:hint="eastAsia" w:eastAsia="方正仿宋_GBK"/>
          <w:b w:val="0"/>
          <w:bCs w:val="0"/>
          <w:color w:val="000000"/>
          <w:sz w:val="32"/>
          <w:szCs w:val="32"/>
          <w:lang w:eastAsia="zh-CN"/>
        </w:rPr>
      </w:pPr>
      <w:r>
        <w:rPr>
          <w:rFonts w:hint="eastAsia" w:eastAsia="方正仿宋_GBK"/>
          <w:b/>
          <w:bCs/>
          <w:color w:val="000000"/>
          <w:sz w:val="32"/>
          <w:szCs w:val="32"/>
          <w:lang w:eastAsia="zh-CN"/>
        </w:rPr>
        <w:t>（一）进一步深化“放管服”改革。</w:t>
      </w:r>
      <w:r>
        <w:rPr>
          <w:rFonts w:hint="eastAsia" w:ascii="仿宋_GB2312" w:hAnsi="仿宋_GB2312" w:eastAsia="仿宋_GB2312" w:cs="仿宋_GB2312"/>
          <w:b w:val="0"/>
          <w:bCs w:val="0"/>
          <w:i w:val="0"/>
          <w:iCs w:val="0"/>
          <w:sz w:val="32"/>
          <w:szCs w:val="32"/>
          <w:lang w:eastAsia="zh-CN"/>
        </w:rPr>
        <w:t>全面落实《中共宿州市委 宿州市人民政府关于进一步优化营商环境的实施意见》，组织开展优化营商环境专项督查行动。加快各部门各行业间数字信息互通共享进度，着力解决电子档案、电子签名、身份认证等关键问题，推进“互联网+政务服务”建设，做到“五减三改两提升” （减环节、减时间、减材料、减跑动、减成本，一网、一门、一次改革，提升营商环境便利度、提升市场主体和群众满意度）。积极组建大数据中心，加快一体化在线平台、市级数据中台建设。（市营商办、市数据资源管理局、市政务服务局、市市场监管局按职责分工）。</w:t>
      </w:r>
    </w:p>
    <w:p>
      <w:pPr>
        <w:keepNext w:val="0"/>
        <w:keepLines w:val="0"/>
        <w:pageBreakBefore w:val="0"/>
        <w:kinsoku/>
        <w:wordWrap/>
        <w:overflowPunct/>
        <w:topLinePunct w:val="0"/>
        <w:autoSpaceDE/>
        <w:autoSpaceDN/>
        <w:bidi w:val="0"/>
        <w:adjustRightInd/>
        <w:snapToGrid/>
        <w:spacing w:line="240" w:lineRule="auto"/>
        <w:ind w:leftChars="0" w:firstLine="640" w:firstLineChars="200"/>
        <w:rPr>
          <w:rFonts w:hint="eastAsia" w:ascii="仿宋_GB2312" w:hAnsi="仿宋_GB2312" w:eastAsia="仿宋_GB2312" w:cs="仿宋_GB2312"/>
          <w:b w:val="0"/>
          <w:bCs w:val="0"/>
          <w:i w:val="0"/>
          <w:iCs w:val="0"/>
          <w:sz w:val="32"/>
          <w:szCs w:val="32"/>
          <w:lang w:eastAsia="zh-CN"/>
        </w:rPr>
      </w:pPr>
      <w:r>
        <w:rPr>
          <w:rFonts w:hint="eastAsia" w:eastAsia="方正仿宋_GBK"/>
          <w:b/>
          <w:bCs/>
          <w:color w:val="000000"/>
          <w:sz w:val="32"/>
          <w:szCs w:val="32"/>
          <w:lang w:eastAsia="zh-CN"/>
        </w:rPr>
        <w:t>（二）进一步放开民营经济市场准入政策。</w:t>
      </w:r>
      <w:r>
        <w:rPr>
          <w:rFonts w:hint="eastAsia" w:ascii="仿宋_GB2312" w:hAnsi="仿宋_GB2312" w:eastAsia="仿宋_GB2312" w:cs="仿宋_GB2312"/>
          <w:b w:val="0"/>
          <w:bCs w:val="0"/>
          <w:i w:val="0"/>
          <w:iCs w:val="0"/>
          <w:sz w:val="32"/>
          <w:szCs w:val="32"/>
          <w:lang w:eastAsia="zh-CN"/>
        </w:rPr>
        <w:t>进一步精简市场准入行政审批事项，不得额外对民营企业设置准入条件。进一步清理规范目录、备案、计划、规划、登记、注册、年检、年报、监制、认定、认证、审定等管理措施。落实国家和省出台的放宽民营企业分行业、分领域、分业务市场准入政策措施。鼓励民营企业参与5G网络、人工智能、工业互联网等新型基础设施建设。对民营企业投资非营利性教育、卫生、养老等社会事业，在设立许可、土地使用、财政支持、用水用电、职称评定、员工参保、价格政策等方面，与政府投资项目享受同等待遇。(市发改委、市教体局、市经信局、市民政局、市财政局、市人社局、市自然资源和规划局、市交通运输局、市卫生健康委、市市场监管局、市政务服务局、市数据资源管理局、市司法局、市电力公司、市供电公司、市电信公司、市移动公司、市联通公司、市铁塔公司等部门按职责分工负责)</w:t>
      </w:r>
    </w:p>
    <w:p>
      <w:pPr>
        <w:keepNext w:val="0"/>
        <w:keepLines w:val="0"/>
        <w:pageBreakBefore w:val="0"/>
        <w:kinsoku/>
        <w:wordWrap/>
        <w:overflowPunct/>
        <w:topLinePunct w:val="0"/>
        <w:autoSpaceDE/>
        <w:autoSpaceDN/>
        <w:bidi w:val="0"/>
        <w:adjustRightInd/>
        <w:snapToGrid/>
        <w:spacing w:line="240" w:lineRule="auto"/>
        <w:ind w:leftChars="0" w:firstLine="640" w:firstLineChars="200"/>
        <w:rPr>
          <w:rFonts w:hint="eastAsia" w:ascii="仿宋_GB2312" w:hAnsi="仿宋_GB2312" w:eastAsia="仿宋_GB2312" w:cs="仿宋_GB2312"/>
          <w:b w:val="0"/>
          <w:bCs w:val="0"/>
          <w:i w:val="0"/>
          <w:iCs w:val="0"/>
          <w:sz w:val="32"/>
          <w:szCs w:val="32"/>
          <w:lang w:eastAsia="zh-CN"/>
        </w:rPr>
      </w:pPr>
      <w:r>
        <w:rPr>
          <w:rFonts w:hint="eastAsia" w:eastAsia="方正仿宋_GBK"/>
          <w:b/>
          <w:bCs/>
          <w:color w:val="000000"/>
          <w:sz w:val="32"/>
          <w:szCs w:val="32"/>
          <w:lang w:eastAsia="zh-CN"/>
        </w:rPr>
        <w:t>（三）加强诚信体系建设。</w:t>
      </w:r>
      <w:r>
        <w:rPr>
          <w:rFonts w:hint="eastAsia" w:ascii="仿宋_GB2312" w:hAnsi="仿宋_GB2312" w:eastAsia="仿宋_GB2312" w:cs="仿宋_GB2312"/>
          <w:b w:val="0"/>
          <w:bCs w:val="0"/>
          <w:i w:val="0"/>
          <w:iCs w:val="0"/>
          <w:sz w:val="32"/>
          <w:szCs w:val="32"/>
          <w:lang w:eastAsia="zh-CN"/>
        </w:rPr>
        <w:t>进一步规范各级政府招商引资行为，认真履行依法依规作出的政策承诺和签订的各类合同、协议，不得以区划调整、政府换届、相关责任人更替等理由违约毁约，坚决杜绝“新官不理旧账”等现象。加大诚信政府建设考评力度，建立政府违约失信责任追究制度。制定守信激励和失信惩戒措施清单及应用清单，规范诚信典型“红名单”和严重失信“黑名单”制度，依法依规对失信行为加大行政性、司法性、市场性、社会舆论性惩戒力度，构建“一处失信、处处受限”的失信联合惩戒长效机制。（市发改委、市委政法委、市中院、市检察院等按职责分工负责）</w:t>
      </w:r>
    </w:p>
    <w:p>
      <w:pPr>
        <w:keepNext w:val="0"/>
        <w:keepLines w:val="0"/>
        <w:pageBreakBefore w:val="0"/>
        <w:widowControl w:val="0"/>
        <w:kinsoku/>
        <w:wordWrap/>
        <w:overflowPunct/>
        <w:topLinePunct w:val="0"/>
        <w:autoSpaceDE/>
        <w:autoSpaceDN/>
        <w:bidi w:val="0"/>
        <w:adjustRightInd/>
        <w:snapToGrid/>
        <w:spacing w:line="240" w:lineRule="auto"/>
        <w:ind w:leftChars="0" w:firstLine="640" w:firstLineChars="200"/>
        <w:textAlignment w:val="auto"/>
        <w:rPr>
          <w:rFonts w:hint="eastAsia" w:ascii="仿宋_GB2312" w:hAnsi="仿宋_GB2312" w:eastAsia="仿宋_GB2312" w:cs="仿宋_GB2312"/>
          <w:b w:val="0"/>
          <w:bCs w:val="0"/>
          <w:i w:val="0"/>
          <w:iCs w:val="0"/>
          <w:sz w:val="32"/>
          <w:szCs w:val="32"/>
          <w:lang w:eastAsia="zh-CN"/>
        </w:rPr>
      </w:pPr>
      <w:r>
        <w:rPr>
          <w:rFonts w:hint="eastAsia" w:eastAsia="方正仿宋_GBK"/>
          <w:b/>
          <w:bCs/>
          <w:color w:val="000000"/>
          <w:sz w:val="32"/>
          <w:szCs w:val="32"/>
          <w:lang w:eastAsia="zh-CN"/>
        </w:rPr>
        <w:t>（四）实施公平统一的市场监管制度。</w:t>
      </w:r>
      <w:r>
        <w:rPr>
          <w:rFonts w:hint="eastAsia" w:ascii="仿宋_GB2312" w:hAnsi="仿宋_GB2312" w:eastAsia="仿宋_GB2312" w:cs="仿宋_GB2312"/>
          <w:b w:val="0"/>
          <w:bCs w:val="0"/>
          <w:i w:val="0"/>
          <w:iCs w:val="0"/>
          <w:sz w:val="32"/>
          <w:szCs w:val="32"/>
          <w:lang w:eastAsia="zh-CN"/>
        </w:rPr>
        <w:t>建立失信联合惩戒对象名单管理制度清单和失信联合惩戒措施清单。认真落实公平竞争审查制度，清理废除妨碍统一市场和公平竞争的政策文件，执行公平竞争审查制度情况向社会公示。加强优化营商环境涉及的法规规章和规范性文件备案审查。实行随机抽查事项清单管理，建立检查对象名录库和执法检查人员名录库，严格落实行政执法公示、执法全过程记录、重大执法决定法制审核“三项制度”。依法健全行政执法裁量基准制度。(市发改委、市司法局、市市场监管局、市数据资源管理局等按职责分工负责)</w:t>
      </w:r>
    </w:p>
    <w:p>
      <w:pPr>
        <w:keepNext w:val="0"/>
        <w:keepLines w:val="0"/>
        <w:pageBreakBefore w:val="0"/>
        <w:kinsoku/>
        <w:wordWrap/>
        <w:overflowPunct/>
        <w:topLinePunct w:val="0"/>
        <w:autoSpaceDE/>
        <w:autoSpaceDN/>
        <w:bidi w:val="0"/>
        <w:adjustRightInd/>
        <w:snapToGrid/>
        <w:spacing w:line="240" w:lineRule="auto"/>
        <w:ind w:leftChars="0" w:firstLine="640" w:firstLineChars="200"/>
        <w:rPr>
          <w:rFonts w:hint="eastAsia" w:ascii="仿宋_GB2312" w:hAnsi="仿宋_GB2312" w:eastAsia="仿宋_GB2312" w:cs="仿宋_GB2312"/>
          <w:b w:val="0"/>
          <w:bCs w:val="0"/>
          <w:i w:val="0"/>
          <w:iCs w:val="0"/>
          <w:sz w:val="32"/>
          <w:szCs w:val="32"/>
          <w:lang w:eastAsia="zh-CN"/>
        </w:rPr>
      </w:pPr>
      <w:r>
        <w:rPr>
          <w:rFonts w:hint="eastAsia" w:eastAsia="方正仿宋_GBK"/>
          <w:b/>
          <w:bCs/>
          <w:color w:val="000000"/>
          <w:sz w:val="32"/>
          <w:szCs w:val="32"/>
          <w:lang w:eastAsia="zh-CN"/>
        </w:rPr>
        <w:t>（五）强化公平竞争审查制度。</w:t>
      </w:r>
      <w:r>
        <w:rPr>
          <w:rFonts w:hint="eastAsia" w:ascii="仿宋_GB2312" w:hAnsi="仿宋_GB2312" w:eastAsia="仿宋_GB2312" w:cs="仿宋_GB2312"/>
          <w:b w:val="0"/>
          <w:bCs w:val="0"/>
          <w:i w:val="0"/>
          <w:iCs w:val="0"/>
          <w:sz w:val="32"/>
          <w:szCs w:val="32"/>
          <w:lang w:eastAsia="zh-CN"/>
        </w:rPr>
        <w:t>全面落实公平竞争审查制度，清理和废除违反公平、开放、透明市场规则的各种规定和做法。对已出台的政策措施，加快清理在行业准入、资质标准、产业补贴等方面对民营企业设置的歧视性规定和做法。对新出台与市场主体生产经营活动密切相关的政策措施，严格履行公平竞争审查程序。（市发改委、市财政局、市商务局、市市场监管局、市司法局，各县区政府、园区管委会按职责分工负责）</w:t>
      </w:r>
    </w:p>
    <w:p>
      <w:pPr>
        <w:keepNext w:val="0"/>
        <w:keepLines w:val="0"/>
        <w:pageBreakBefore w:val="0"/>
        <w:kinsoku/>
        <w:wordWrap/>
        <w:overflowPunct/>
        <w:topLinePunct w:val="0"/>
        <w:autoSpaceDE/>
        <w:autoSpaceDN/>
        <w:bidi w:val="0"/>
        <w:adjustRightInd/>
        <w:snapToGrid/>
        <w:spacing w:line="240" w:lineRule="auto"/>
        <w:ind w:leftChars="0" w:firstLine="640" w:firstLineChars="200"/>
        <w:rPr>
          <w:rFonts w:hint="eastAsia" w:ascii="仿宋_GB2312" w:hAnsi="仿宋_GB2312" w:eastAsia="仿宋_GB2312" w:cs="仿宋_GB2312"/>
          <w:sz w:val="32"/>
          <w:szCs w:val="32"/>
          <w:lang w:eastAsia="zh-CN"/>
        </w:rPr>
      </w:pPr>
      <w:r>
        <w:rPr>
          <w:rFonts w:hint="eastAsia" w:eastAsia="方正仿宋_GBK"/>
          <w:b/>
          <w:bCs/>
          <w:color w:val="000000"/>
          <w:sz w:val="32"/>
          <w:szCs w:val="32"/>
          <w:lang w:eastAsia="zh-CN"/>
        </w:rPr>
        <w:t>（六）破除招投标隐性壁垒。</w:t>
      </w:r>
      <w:r>
        <w:rPr>
          <w:rFonts w:hint="eastAsia" w:ascii="仿宋_GB2312" w:hAnsi="仿宋_GB2312" w:eastAsia="仿宋_GB2312" w:cs="仿宋_GB2312"/>
          <w:sz w:val="32"/>
          <w:szCs w:val="32"/>
          <w:lang w:eastAsia="zh-CN"/>
        </w:rPr>
        <w:t>坚决纠正并依法处理招标人限定投标企业的所有制形式、组织形式或者股权结构、抬高投标企业资质等级、设置与业务能力无关的企业规模门槛和明显超过招标项目要求的业绩门槛等行为。完善全市统一的公共资源交易平台，全面实施公共资源电子化交易，依法公开交易及履约信息，保障市场主体平等参与交易活动。（市发改委、市财政局、市住建局、市水利局、市公共资源局等按职责分工负责）</w:t>
      </w:r>
    </w:p>
    <w:p>
      <w:pPr>
        <w:keepNext w:val="0"/>
        <w:keepLines w:val="0"/>
        <w:pageBreakBefore w:val="0"/>
        <w:kinsoku/>
        <w:wordWrap/>
        <w:overflowPunct/>
        <w:topLinePunct w:val="0"/>
        <w:autoSpaceDE/>
        <w:autoSpaceDN/>
        <w:bidi w:val="0"/>
        <w:adjustRightInd/>
        <w:snapToGrid/>
        <w:spacing w:line="240" w:lineRule="auto"/>
        <w:ind w:leftChars="0" w:firstLine="640" w:firstLineChars="200"/>
        <w:rPr>
          <w:rFonts w:hint="eastAsia" w:eastAsia="方正仿宋_GBK"/>
          <w:b/>
          <w:bCs/>
          <w:color w:val="000000"/>
          <w:sz w:val="32"/>
          <w:szCs w:val="32"/>
          <w:lang w:eastAsia="zh-CN"/>
        </w:rPr>
      </w:pPr>
      <w:r>
        <w:rPr>
          <w:rFonts w:hint="eastAsia" w:eastAsia="方正仿宋_GBK"/>
          <w:b/>
          <w:bCs/>
          <w:color w:val="000000"/>
          <w:sz w:val="32"/>
          <w:szCs w:val="32"/>
          <w:lang w:eastAsia="zh-CN"/>
        </w:rPr>
        <w:t>二、完善精准有效的政策环境</w:t>
      </w:r>
    </w:p>
    <w:p>
      <w:pPr>
        <w:keepNext w:val="0"/>
        <w:keepLines w:val="0"/>
        <w:pageBreakBefore w:val="0"/>
        <w:kinsoku/>
        <w:wordWrap/>
        <w:overflowPunct/>
        <w:topLinePunct w:val="0"/>
        <w:autoSpaceDE/>
        <w:autoSpaceDN/>
        <w:bidi w:val="0"/>
        <w:adjustRightInd/>
        <w:snapToGrid/>
        <w:spacing w:line="240" w:lineRule="auto"/>
        <w:ind w:leftChars="0" w:firstLine="640" w:firstLineChars="200"/>
        <w:rPr>
          <w:rFonts w:hint="eastAsia" w:ascii="仿宋_GB2312" w:hAnsi="仿宋_GB2312" w:eastAsia="仿宋_GB2312" w:cs="仿宋_GB2312"/>
          <w:sz w:val="32"/>
          <w:szCs w:val="32"/>
          <w:lang w:eastAsia="zh-CN"/>
        </w:rPr>
      </w:pPr>
      <w:r>
        <w:rPr>
          <w:rFonts w:hint="eastAsia" w:eastAsia="方正仿宋_GBK"/>
          <w:b/>
          <w:bCs/>
          <w:color w:val="000000"/>
          <w:sz w:val="32"/>
          <w:szCs w:val="32"/>
          <w:lang w:eastAsia="zh-CN"/>
        </w:rPr>
        <w:t>（七）健全支持民营企业发展政策体系。</w:t>
      </w:r>
      <w:r>
        <w:rPr>
          <w:rFonts w:hint="eastAsia" w:ascii="仿宋_GB2312" w:hAnsi="仿宋_GB2312" w:eastAsia="仿宋_GB2312" w:cs="仿宋_GB2312"/>
          <w:sz w:val="32"/>
          <w:szCs w:val="32"/>
          <w:lang w:eastAsia="zh-CN"/>
        </w:rPr>
        <w:t>进一步放大制造强市等政策引导效应，发挥好制造强市等专项资金作用，让惠企政策更加精准有效。构建更加完善的要素市场化配置体制机制，保障民营企业依法平等使用资金、技术、人力资源、土地使用权及其他自然资源等各类生产要素和公共服务资源。（市发改委、市科技局、市经信局、市财政局、市人社局、市自然资源和规划局等部门按职责分工负责）</w:t>
      </w:r>
    </w:p>
    <w:p>
      <w:pPr>
        <w:keepNext w:val="0"/>
        <w:keepLines w:val="0"/>
        <w:pageBreakBefore w:val="0"/>
        <w:kinsoku/>
        <w:wordWrap/>
        <w:overflowPunct/>
        <w:topLinePunct w:val="0"/>
        <w:autoSpaceDE/>
        <w:autoSpaceDN/>
        <w:bidi w:val="0"/>
        <w:adjustRightInd/>
        <w:snapToGrid/>
        <w:spacing w:line="240" w:lineRule="auto"/>
        <w:ind w:leftChars="0" w:firstLine="640" w:firstLineChars="200"/>
        <w:rPr>
          <w:rFonts w:hint="eastAsia" w:ascii="仿宋_GB2312" w:hAnsi="仿宋_GB2312" w:eastAsia="仿宋_GB2312" w:cs="仿宋_GB2312"/>
          <w:sz w:val="32"/>
          <w:szCs w:val="32"/>
          <w:lang w:eastAsia="zh-CN"/>
        </w:rPr>
      </w:pPr>
      <w:r>
        <w:rPr>
          <w:rFonts w:hint="eastAsia" w:eastAsia="方正仿宋_GBK"/>
          <w:b/>
          <w:bCs/>
          <w:color w:val="000000"/>
          <w:sz w:val="32"/>
          <w:szCs w:val="32"/>
          <w:lang w:eastAsia="zh-CN"/>
        </w:rPr>
        <w:t>（八）保护和激发市场主体活力。</w:t>
      </w:r>
      <w:r>
        <w:rPr>
          <w:rFonts w:hint="eastAsia" w:ascii="仿宋_GB2312" w:hAnsi="仿宋_GB2312" w:eastAsia="仿宋_GB2312" w:cs="仿宋_GB2312"/>
          <w:sz w:val="32"/>
          <w:szCs w:val="32"/>
          <w:lang w:eastAsia="zh-CN"/>
        </w:rPr>
        <w:t>落实落细中央扎实做好“六稳”工作、全面落实“六保”任务部署要求。实施“稳主体增主体扶主体”行动，继续落实减费降税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减租降息政策，确保各项纾困措施直达基层</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直接惠及市场主体。支持民营企业参与强链延链补链工程。推动企业“上云用数赋智”。全面强化就业优先政策，加大稳岗补贴、培训补贴、失业保险返还力度，引导有需求的企业开展“共享用工”。实施扩大内需战略，促进智能消费、绿色消费、线上经济等新产业新业态新模式发展，支持餐饮、商场、文化、旅游、家政等生活服务业恢复发展。（市发改委、市科技局、市经信局、市财政局、市商务局、市文化和旅游局、市人社局、市国资委、市市场监管局、</w:t>
      </w:r>
      <w:r>
        <w:rPr>
          <w:rFonts w:hint="eastAsia" w:ascii="仿宋_GB2312" w:hAnsi="仿宋_GB2312" w:eastAsia="仿宋_GB2312" w:cs="仿宋_GB2312"/>
          <w:sz w:val="32"/>
          <w:szCs w:val="32"/>
          <w:lang w:val="en-US" w:eastAsia="zh-CN"/>
        </w:rPr>
        <w:t>人行宿州市中心支行、市银保监分局、</w:t>
      </w:r>
      <w:r>
        <w:rPr>
          <w:rFonts w:hint="eastAsia" w:ascii="仿宋_GB2312" w:hAnsi="仿宋_GB2312" w:eastAsia="仿宋_GB2312" w:cs="仿宋_GB2312"/>
          <w:sz w:val="32"/>
          <w:szCs w:val="32"/>
          <w:lang w:eastAsia="zh-CN"/>
        </w:rPr>
        <w:t>市地方金融监管局、市数据资源管理局、市税务局等按职责分工负责。）</w:t>
      </w:r>
    </w:p>
    <w:p>
      <w:pPr>
        <w:keepNext w:val="0"/>
        <w:keepLines w:val="0"/>
        <w:pageBreakBefore w:val="0"/>
        <w:kinsoku/>
        <w:wordWrap/>
        <w:overflowPunct/>
        <w:topLinePunct w:val="0"/>
        <w:autoSpaceDE/>
        <w:autoSpaceDN/>
        <w:bidi w:val="0"/>
        <w:adjustRightInd/>
        <w:snapToGrid/>
        <w:spacing w:line="240" w:lineRule="auto"/>
        <w:ind w:leftChars="0" w:firstLine="640" w:firstLineChars="200"/>
        <w:rPr>
          <w:rFonts w:hint="eastAsia" w:ascii="仿宋_GB2312" w:hAnsi="仿宋_GB2312" w:eastAsia="仿宋_GB2312" w:cs="仿宋_GB2312"/>
          <w:sz w:val="32"/>
          <w:szCs w:val="32"/>
          <w:lang w:eastAsia="zh-CN"/>
        </w:rPr>
      </w:pPr>
      <w:r>
        <w:rPr>
          <w:rFonts w:hint="eastAsia" w:eastAsia="方正仿宋_GBK"/>
          <w:b/>
          <w:bCs/>
          <w:color w:val="000000"/>
          <w:sz w:val="32"/>
          <w:szCs w:val="32"/>
          <w:lang w:eastAsia="zh-CN"/>
        </w:rPr>
        <w:t>（九）进一步减轻企业税费负担。</w:t>
      </w:r>
      <w:r>
        <w:rPr>
          <w:rFonts w:hint="eastAsia" w:ascii="仿宋_GB2312" w:hAnsi="仿宋_GB2312" w:eastAsia="仿宋_GB2312" w:cs="仿宋_GB2312"/>
          <w:sz w:val="32"/>
          <w:szCs w:val="32"/>
          <w:lang w:eastAsia="zh-CN"/>
        </w:rPr>
        <w:t>贯彻落实国家、省各项减税降费政策。对确有特殊困难不能按期缴纳税款的民营企业，允许依法延期缴纳。建立完善监督检查清单制度，落实涉企收费清单制度，清理违规涉企收费、摊派事项和各类评比达标活动，加大力度清理整治第三方截留减税降费红利等行为。加强涉企收费监督管理，畅通企业举报渠道，完善查处机制，坚决取缔违规收费项目。（市发改委、市公安局、市民政局、市财政局、市人社局、市生态环境局、市住建局、市交通运输局、市市场监督管局、市税务局等按职责分工负责）</w:t>
      </w:r>
    </w:p>
    <w:p>
      <w:pPr>
        <w:keepNext w:val="0"/>
        <w:keepLines w:val="0"/>
        <w:pageBreakBefore w:val="0"/>
        <w:kinsoku/>
        <w:wordWrap/>
        <w:overflowPunct/>
        <w:topLinePunct w:val="0"/>
        <w:autoSpaceDE/>
        <w:autoSpaceDN/>
        <w:bidi w:val="0"/>
        <w:adjustRightInd/>
        <w:snapToGrid/>
        <w:spacing w:line="240" w:lineRule="auto"/>
        <w:ind w:leftChars="0" w:firstLine="640" w:firstLineChars="200"/>
        <w:rPr>
          <w:rFonts w:hint="eastAsia" w:ascii="仿宋_GB2312" w:hAnsi="仿宋_GB2312" w:eastAsia="仿宋_GB2312" w:cs="仿宋_GB2312"/>
          <w:sz w:val="32"/>
          <w:szCs w:val="32"/>
          <w:lang w:eastAsia="zh-CN"/>
        </w:rPr>
      </w:pPr>
      <w:r>
        <w:rPr>
          <w:rFonts w:hint="eastAsia" w:eastAsia="方正仿宋_GBK"/>
          <w:b/>
          <w:bCs/>
          <w:color w:val="000000"/>
          <w:sz w:val="32"/>
          <w:szCs w:val="32"/>
          <w:lang w:eastAsia="zh-CN"/>
        </w:rPr>
        <w:t>（十）健全银行业金融机构服务民营企业体系。</w:t>
      </w:r>
      <w:r>
        <w:rPr>
          <w:rFonts w:hint="eastAsia" w:ascii="仿宋_GB2312" w:hAnsi="仿宋_GB2312" w:eastAsia="仿宋_GB2312" w:cs="仿宋_GB2312"/>
          <w:sz w:val="32"/>
          <w:szCs w:val="32"/>
          <w:lang w:eastAsia="zh-CN"/>
        </w:rPr>
        <w:t>引导银行业金融机构制定民营、小微企业信贷服务年度目标。</w:t>
      </w:r>
      <w:r>
        <w:rPr>
          <w:rFonts w:hint="eastAsia" w:ascii="仿宋_GB2312" w:hAnsi="仿宋_GB2312" w:eastAsia="仿宋_GB2312" w:cs="仿宋_GB2312"/>
          <w:sz w:val="32"/>
          <w:szCs w:val="32"/>
        </w:rPr>
        <w:t>支持银行增加制造业中长期贷款，提高中小微企业“首贷率”和信用贷款占比，扩大新型政银担、税融通、无还本续贷等业务规模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综合运用无还本续贷、循环贷、分期偿还本金、年审制贷款等，全面降低民营和小微企业综合融资成本。贷款审批中不得对民营企业设置歧视性要求，同等条件下民营企业与国有企业贷款利率和贷款条件保持一致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人行宿州市中心支行</w:t>
      </w:r>
      <w:r>
        <w:rPr>
          <w:rFonts w:hint="eastAsia" w:ascii="仿宋_GB2312" w:hAnsi="仿宋_GB2312" w:eastAsia="仿宋_GB2312" w:cs="仿宋_GB2312"/>
          <w:sz w:val="32"/>
          <w:szCs w:val="32"/>
          <w:lang w:eastAsia="zh-CN"/>
        </w:rPr>
        <w:t>、市银保监分局、市地方金融监管局等按职责分工负责）</w:t>
      </w:r>
    </w:p>
    <w:p>
      <w:pPr>
        <w:keepNext w:val="0"/>
        <w:keepLines w:val="0"/>
        <w:pageBreakBefore w:val="0"/>
        <w:kinsoku/>
        <w:wordWrap/>
        <w:overflowPunct/>
        <w:topLinePunct w:val="0"/>
        <w:autoSpaceDE/>
        <w:autoSpaceDN/>
        <w:bidi w:val="0"/>
        <w:adjustRightInd/>
        <w:snapToGrid/>
        <w:spacing w:line="240" w:lineRule="auto"/>
        <w:ind w:leftChars="0" w:firstLine="640" w:firstLineChars="200"/>
        <w:rPr>
          <w:rFonts w:hint="eastAsia" w:ascii="仿宋_GB2312" w:hAnsi="仿宋_GB2312" w:eastAsia="仿宋_GB2312" w:cs="仿宋_GB2312"/>
          <w:sz w:val="32"/>
          <w:szCs w:val="32"/>
          <w:lang w:eastAsia="zh-CN"/>
        </w:rPr>
      </w:pPr>
      <w:r>
        <w:rPr>
          <w:rFonts w:hint="eastAsia" w:eastAsia="方正仿宋_GBK"/>
          <w:b/>
          <w:bCs/>
          <w:color w:val="000000"/>
          <w:sz w:val="32"/>
          <w:szCs w:val="32"/>
          <w:lang w:eastAsia="zh-CN"/>
        </w:rPr>
        <w:t>（十一）强化直接融资支持。</w:t>
      </w:r>
      <w:r>
        <w:rPr>
          <w:rFonts w:hint="eastAsia" w:ascii="仿宋_GB2312" w:hAnsi="仿宋_GB2312" w:eastAsia="仿宋_GB2312" w:cs="仿宋_GB2312"/>
          <w:sz w:val="32"/>
          <w:szCs w:val="32"/>
        </w:rPr>
        <w:t>建立民营和中小微企业上市(挂牌)、发债后备资源库，</w:t>
      </w:r>
      <w:r>
        <w:rPr>
          <w:rFonts w:hint="eastAsia" w:ascii="仿宋_GB2312" w:hAnsi="仿宋_GB2312" w:eastAsia="仿宋_GB2312" w:cs="仿宋_GB2312"/>
          <w:sz w:val="32"/>
          <w:szCs w:val="32"/>
          <w:lang w:eastAsia="zh-CN"/>
        </w:rPr>
        <w:t>鼓励、支持民营企业在全国中小企业股份转让系统、区域性股权市场挂牌，引导民营企业通过增资扩股、债券发行等方式融资。落实我市支持企业直接融资和上市挂牌的各项政策。（</w:t>
      </w:r>
      <w:r>
        <w:rPr>
          <w:rFonts w:hint="eastAsia" w:ascii="仿宋_GB2312" w:hAnsi="仿宋_GB2312" w:eastAsia="仿宋_GB2312" w:cs="仿宋_GB2312"/>
          <w:sz w:val="32"/>
          <w:szCs w:val="32"/>
          <w:lang w:val="en-US" w:eastAsia="zh-CN"/>
        </w:rPr>
        <w:t>人行宿州市中心支行、</w:t>
      </w:r>
      <w:r>
        <w:rPr>
          <w:rFonts w:hint="eastAsia" w:ascii="仿宋_GB2312" w:hAnsi="仿宋_GB2312" w:eastAsia="仿宋_GB2312" w:cs="仿宋_GB2312"/>
          <w:sz w:val="32"/>
          <w:szCs w:val="32"/>
          <w:lang w:eastAsia="zh-CN"/>
        </w:rPr>
        <w:t>市地方金融</w:t>
      </w:r>
      <w:r>
        <w:rPr>
          <w:rFonts w:hint="eastAsia" w:ascii="仿宋_GB2312" w:hAnsi="仿宋_GB2312" w:eastAsia="仿宋_GB2312" w:cs="仿宋_GB2312"/>
          <w:sz w:val="32"/>
          <w:szCs w:val="32"/>
        </w:rPr>
        <w:t>监管</w:t>
      </w:r>
      <w:r>
        <w:rPr>
          <w:rFonts w:hint="eastAsia" w:ascii="仿宋_GB2312" w:hAnsi="仿宋_GB2312" w:eastAsia="仿宋_GB2312" w:cs="仿宋_GB2312"/>
          <w:sz w:val="32"/>
          <w:szCs w:val="32"/>
          <w:lang w:eastAsia="zh-CN"/>
        </w:rPr>
        <w:t>局、市科技局、市经信局、市财政局按职责分工负责）</w:t>
      </w:r>
    </w:p>
    <w:p>
      <w:pPr>
        <w:keepNext w:val="0"/>
        <w:keepLines w:val="0"/>
        <w:pageBreakBefore w:val="0"/>
        <w:kinsoku/>
        <w:wordWrap/>
        <w:overflowPunct/>
        <w:topLinePunct w:val="0"/>
        <w:autoSpaceDE/>
        <w:autoSpaceDN/>
        <w:bidi w:val="0"/>
        <w:adjustRightInd/>
        <w:snapToGrid/>
        <w:spacing w:line="240" w:lineRule="auto"/>
        <w:ind w:leftChars="0" w:firstLine="643" w:firstLineChars="200"/>
        <w:rPr>
          <w:rFonts w:hint="eastAsia" w:ascii="仿宋_GB2312" w:hAnsi="仿宋_GB2312" w:eastAsia="仿宋_GB2312" w:cs="仿宋_GB2312"/>
          <w:b w:val="0"/>
          <w:bCs w:val="0"/>
          <w:i w:val="0"/>
          <w:iCs w:val="0"/>
          <w:sz w:val="32"/>
          <w:szCs w:val="32"/>
          <w:lang w:eastAsia="zh-CN"/>
        </w:rPr>
      </w:pPr>
      <w:r>
        <w:rPr>
          <w:rFonts w:hint="eastAsia" w:ascii="仿宋_GB2312" w:hAnsi="仿宋_GB2312" w:eastAsia="仿宋_GB2312" w:cs="仿宋_GB2312"/>
          <w:b/>
          <w:bCs/>
          <w:i w:val="0"/>
          <w:iCs w:val="0"/>
          <w:sz w:val="32"/>
          <w:szCs w:val="32"/>
          <w:lang w:eastAsia="zh-CN"/>
        </w:rPr>
        <w:t>（十二）</w:t>
      </w:r>
      <w:r>
        <w:rPr>
          <w:rFonts w:hint="eastAsia" w:ascii="仿宋_GB2312" w:hAnsi="仿宋_GB2312" w:eastAsia="仿宋_GB2312" w:cs="仿宋_GB2312"/>
          <w:b/>
          <w:bCs/>
          <w:i w:val="0"/>
          <w:iCs w:val="0"/>
          <w:sz w:val="32"/>
          <w:szCs w:val="32"/>
        </w:rPr>
        <w:t>健全民营企业融资增信支持体系。</w:t>
      </w:r>
      <w:r>
        <w:rPr>
          <w:rFonts w:hint="eastAsia" w:ascii="仿宋_GB2312" w:hAnsi="仿宋_GB2312" w:eastAsia="仿宋_GB2312" w:cs="仿宋_GB2312"/>
          <w:b w:val="0"/>
          <w:bCs w:val="0"/>
          <w:i w:val="0"/>
          <w:iCs w:val="0"/>
          <w:sz w:val="32"/>
          <w:szCs w:val="32"/>
        </w:rPr>
        <w:t>推广订单、存货、设备、金融资产等动产质押融资。支持民营企业、中小企业开展应收账款融资。完善知识产权评估机制，实施知识产权质押融资财政奖补政策。落实小微企业融资担保降费奖补政策。持续优化新型政银担业务合作机制。用好民营企业债券融资支持工具，支持政府性融资担保机构对符合条件的民营企业发债提供担保。</w:t>
      </w:r>
      <w:r>
        <w:rPr>
          <w:rFonts w:hint="eastAsia" w:ascii="仿宋_GB2312" w:hAnsi="仿宋_GB2312" w:eastAsia="仿宋_GB2312" w:cs="仿宋_GB2312"/>
          <w:b w:val="0"/>
          <w:bCs w:val="0"/>
          <w:i w:val="0"/>
          <w:iCs w:val="0"/>
          <w:sz w:val="32"/>
          <w:szCs w:val="32"/>
          <w:lang w:eastAsia="zh-CN"/>
        </w:rPr>
        <w:t>（</w:t>
      </w:r>
      <w:r>
        <w:rPr>
          <w:rFonts w:hint="eastAsia" w:ascii="仿宋_GB2312" w:hAnsi="仿宋_GB2312" w:eastAsia="仿宋_GB2312" w:cs="仿宋_GB2312"/>
          <w:b w:val="0"/>
          <w:bCs w:val="0"/>
          <w:i w:val="0"/>
          <w:iCs w:val="0"/>
          <w:sz w:val="32"/>
          <w:szCs w:val="32"/>
        </w:rPr>
        <w:t>市财政局、市市场监管局、市地方金融监管局、</w:t>
      </w:r>
      <w:r>
        <w:rPr>
          <w:rFonts w:hint="eastAsia" w:ascii="仿宋_GB2312" w:hAnsi="仿宋_GB2312" w:eastAsia="仿宋_GB2312" w:cs="仿宋_GB2312"/>
          <w:b w:val="0"/>
          <w:bCs w:val="0"/>
          <w:i w:val="0"/>
          <w:iCs w:val="0"/>
          <w:sz w:val="32"/>
          <w:szCs w:val="32"/>
          <w:lang w:val="en-US" w:eastAsia="zh-CN"/>
        </w:rPr>
        <w:t>人行宿州市中心支行</w:t>
      </w:r>
      <w:r>
        <w:rPr>
          <w:rFonts w:hint="eastAsia" w:ascii="仿宋_GB2312" w:hAnsi="仿宋_GB2312" w:eastAsia="仿宋_GB2312" w:cs="仿宋_GB2312"/>
          <w:b w:val="0"/>
          <w:bCs w:val="0"/>
          <w:i w:val="0"/>
          <w:iCs w:val="0"/>
          <w:sz w:val="32"/>
          <w:szCs w:val="32"/>
        </w:rPr>
        <w:t>、市银保监</w:t>
      </w:r>
      <w:r>
        <w:rPr>
          <w:rFonts w:hint="eastAsia" w:ascii="仿宋_GB2312" w:hAnsi="仿宋_GB2312" w:eastAsia="仿宋_GB2312" w:cs="仿宋_GB2312"/>
          <w:b w:val="0"/>
          <w:bCs w:val="0"/>
          <w:i w:val="0"/>
          <w:iCs w:val="0"/>
          <w:sz w:val="32"/>
          <w:szCs w:val="32"/>
          <w:lang w:eastAsia="zh-CN"/>
        </w:rPr>
        <w:t>分</w:t>
      </w:r>
      <w:r>
        <w:rPr>
          <w:rFonts w:hint="eastAsia" w:ascii="仿宋_GB2312" w:hAnsi="仿宋_GB2312" w:eastAsia="仿宋_GB2312" w:cs="仿宋_GB2312"/>
          <w:b w:val="0"/>
          <w:bCs w:val="0"/>
          <w:i w:val="0"/>
          <w:iCs w:val="0"/>
          <w:sz w:val="32"/>
          <w:szCs w:val="32"/>
        </w:rPr>
        <w:t>局、</w:t>
      </w:r>
      <w:r>
        <w:rPr>
          <w:rFonts w:hint="eastAsia" w:ascii="仿宋_GB2312" w:hAnsi="仿宋_GB2312" w:eastAsia="仿宋_GB2312" w:cs="仿宋_GB2312"/>
          <w:b w:val="0"/>
          <w:bCs w:val="0"/>
          <w:i w:val="0"/>
          <w:iCs w:val="0"/>
          <w:sz w:val="32"/>
          <w:szCs w:val="32"/>
          <w:lang w:eastAsia="zh-CN"/>
        </w:rPr>
        <w:t>市</w:t>
      </w:r>
      <w:r>
        <w:rPr>
          <w:rFonts w:hint="eastAsia" w:ascii="仿宋_GB2312" w:hAnsi="仿宋_GB2312" w:eastAsia="仿宋_GB2312" w:cs="仿宋_GB2312"/>
          <w:b w:val="0"/>
          <w:bCs w:val="0"/>
          <w:i w:val="0"/>
          <w:iCs w:val="0"/>
          <w:sz w:val="32"/>
          <w:szCs w:val="32"/>
        </w:rPr>
        <w:t>担保</w:t>
      </w:r>
      <w:r>
        <w:rPr>
          <w:rFonts w:hint="eastAsia" w:ascii="仿宋_GB2312" w:hAnsi="仿宋_GB2312" w:eastAsia="仿宋_GB2312" w:cs="仿宋_GB2312"/>
          <w:b w:val="0"/>
          <w:bCs w:val="0"/>
          <w:i w:val="0"/>
          <w:iCs w:val="0"/>
          <w:sz w:val="32"/>
          <w:szCs w:val="32"/>
          <w:lang w:eastAsia="zh-CN"/>
        </w:rPr>
        <w:t>公司</w:t>
      </w:r>
      <w:r>
        <w:rPr>
          <w:rFonts w:hint="eastAsia" w:ascii="仿宋_GB2312" w:hAnsi="仿宋_GB2312" w:eastAsia="仿宋_GB2312" w:cs="仿宋_GB2312"/>
          <w:b w:val="0"/>
          <w:bCs w:val="0"/>
          <w:i w:val="0"/>
          <w:iCs w:val="0"/>
          <w:sz w:val="32"/>
          <w:szCs w:val="32"/>
        </w:rPr>
        <w:t>等按职责分工负责</w:t>
      </w:r>
      <w:r>
        <w:rPr>
          <w:rFonts w:hint="eastAsia" w:ascii="仿宋_GB2312" w:hAnsi="仿宋_GB2312" w:eastAsia="仿宋_GB2312" w:cs="仿宋_GB2312"/>
          <w:b w:val="0"/>
          <w:bCs w:val="0"/>
          <w:i w:val="0"/>
          <w:iCs w:val="0"/>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leftChars="0" w:firstLine="640" w:firstLineChars="200"/>
        <w:rPr>
          <w:rFonts w:hint="eastAsia" w:ascii="仿宋_GB2312" w:hAnsi="仿宋_GB2312" w:eastAsia="仿宋_GB2312" w:cs="仿宋_GB2312"/>
          <w:b w:val="0"/>
          <w:bCs w:val="0"/>
          <w:i w:val="0"/>
          <w:iCs w:val="0"/>
          <w:sz w:val="32"/>
          <w:szCs w:val="32"/>
          <w:lang w:eastAsia="zh-CN"/>
        </w:rPr>
      </w:pPr>
      <w:r>
        <w:rPr>
          <w:rFonts w:hint="eastAsia" w:eastAsia="方正仿宋_GBK"/>
          <w:b/>
          <w:bCs/>
          <w:color w:val="000000"/>
          <w:sz w:val="32"/>
          <w:szCs w:val="32"/>
          <w:lang w:eastAsia="zh-CN"/>
        </w:rPr>
        <w:t>（十三）建立清理和防止拖欠账款长效机制。</w:t>
      </w:r>
      <w:r>
        <w:rPr>
          <w:rFonts w:hint="eastAsia" w:ascii="仿宋_GB2312" w:hAnsi="仿宋_GB2312" w:eastAsia="仿宋_GB2312" w:cs="仿宋_GB2312"/>
          <w:b w:val="0"/>
          <w:bCs w:val="0"/>
          <w:i w:val="0"/>
          <w:iCs w:val="0"/>
          <w:sz w:val="32"/>
          <w:szCs w:val="32"/>
          <w:lang w:eastAsia="zh-CN"/>
        </w:rPr>
        <w:t>全面落实《保障中小企业账款支付条例》，政府部门、大型国有企业要依法履行与民营企业、中小企业签订的协议和合同，不得利用优势地位在合同中约定明显违反市场规则的条款。(市经信局、市财政局</w:t>
      </w:r>
      <w:r>
        <w:rPr>
          <w:rFonts w:hint="eastAsia" w:ascii="仿宋_GB2312" w:hAnsi="仿宋_GB2312" w:eastAsia="仿宋_GB2312" w:cs="仿宋_GB2312"/>
          <w:b w:val="0"/>
          <w:bCs w:val="0"/>
          <w:i w:val="0"/>
          <w:iCs w:val="0"/>
          <w:sz w:val="32"/>
          <w:szCs w:val="32"/>
          <w:lang w:val="en-US" w:eastAsia="zh-CN"/>
        </w:rPr>
        <w:t>(国资委)、</w:t>
      </w:r>
      <w:r>
        <w:rPr>
          <w:rFonts w:hint="eastAsia" w:ascii="仿宋_GB2312" w:hAnsi="仿宋_GB2312" w:eastAsia="仿宋_GB2312" w:cs="仿宋_GB2312"/>
          <w:b w:val="0"/>
          <w:bCs w:val="0"/>
          <w:i w:val="0"/>
          <w:iCs w:val="0"/>
          <w:sz w:val="32"/>
          <w:szCs w:val="32"/>
          <w:lang w:eastAsia="zh-CN"/>
        </w:rPr>
        <w:t xml:space="preserve">市住建局、市农村农业局、市教体局、市卫健委、市人社局、市城管局，各县区政府、园区管委会按职责分工负责) </w:t>
      </w:r>
    </w:p>
    <w:p>
      <w:pPr>
        <w:keepNext w:val="0"/>
        <w:keepLines w:val="0"/>
        <w:pageBreakBefore w:val="0"/>
        <w:kinsoku/>
        <w:wordWrap/>
        <w:overflowPunct/>
        <w:topLinePunct w:val="0"/>
        <w:autoSpaceDE/>
        <w:autoSpaceDN/>
        <w:bidi w:val="0"/>
        <w:adjustRightInd/>
        <w:snapToGrid/>
        <w:spacing w:line="240" w:lineRule="auto"/>
        <w:ind w:leftChars="0" w:firstLine="640" w:firstLineChars="200"/>
        <w:rPr>
          <w:rFonts w:hint="eastAsia" w:ascii="仿宋_GB2312" w:hAnsi="仿宋_GB2312" w:eastAsia="仿宋_GB2312" w:cs="仿宋_GB2312"/>
          <w:b w:val="0"/>
          <w:bCs w:val="0"/>
          <w:i w:val="0"/>
          <w:iCs w:val="0"/>
          <w:sz w:val="32"/>
          <w:szCs w:val="32"/>
          <w:lang w:eastAsia="zh-CN"/>
        </w:rPr>
      </w:pPr>
      <w:r>
        <w:rPr>
          <w:rFonts w:hint="eastAsia" w:eastAsia="方正仿宋_GBK"/>
          <w:b/>
          <w:bCs/>
          <w:color w:val="000000"/>
          <w:sz w:val="32"/>
          <w:szCs w:val="32"/>
          <w:lang w:eastAsia="zh-CN"/>
        </w:rPr>
        <w:t>（十四）妥善解决民营企业历史遗留问题。</w:t>
      </w:r>
      <w:r>
        <w:rPr>
          <w:rFonts w:hint="eastAsia" w:ascii="仿宋_GB2312" w:hAnsi="仿宋_GB2312" w:eastAsia="仿宋_GB2312" w:cs="仿宋_GB2312"/>
          <w:b w:val="0"/>
          <w:bCs w:val="0"/>
          <w:i w:val="0"/>
          <w:iCs w:val="0"/>
          <w:sz w:val="32"/>
          <w:szCs w:val="32"/>
          <w:lang w:eastAsia="zh-CN"/>
        </w:rPr>
        <w:t>妥善处置民营企业用地、产权及补（赔）偿等方面的历史遗留问题。</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市</w:t>
      </w:r>
      <w:r>
        <w:rPr>
          <w:rFonts w:hint="eastAsia" w:ascii="仿宋" w:hAnsi="仿宋" w:eastAsia="仿宋" w:cs="仿宋"/>
          <w:b w:val="0"/>
          <w:bCs w:val="0"/>
          <w:color w:val="000000" w:themeColor="text1"/>
          <w:sz w:val="32"/>
          <w:szCs w:val="32"/>
          <w:shd w:val="clear" w:fill="FFFFFF"/>
          <w14:textFill>
            <w14:solidFill>
              <w14:schemeClr w14:val="tx1"/>
            </w14:solidFill>
          </w14:textFill>
        </w:rPr>
        <w:t>直有关部门研究提出解决企业土地房屋产权历史遗留问题的具体指导意见。</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各县区政府、园区管委会</w:t>
      </w:r>
      <w:r>
        <w:rPr>
          <w:rFonts w:hint="eastAsia" w:ascii="仿宋" w:hAnsi="仿宋" w:eastAsia="仿宋" w:cs="仿宋"/>
          <w:b w:val="0"/>
          <w:bCs w:val="0"/>
          <w:color w:val="000000" w:themeColor="text1"/>
          <w:sz w:val="32"/>
          <w:szCs w:val="32"/>
          <w:shd w:val="clear" w:fill="FFFFFF"/>
          <w14:textFill>
            <w14:solidFill>
              <w14:schemeClr w14:val="tx1"/>
            </w14:solidFill>
          </w14:textFill>
        </w:rPr>
        <w:t>进行摸底调查，</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在</w:t>
      </w:r>
      <w:r>
        <w:rPr>
          <w:rFonts w:hint="eastAsia" w:ascii="仿宋_GB2312" w:hAnsi="仿宋_GB2312" w:eastAsia="仿宋_GB2312" w:cs="仿宋_GB2312"/>
          <w:b w:val="0"/>
          <w:bCs w:val="0"/>
          <w:i w:val="0"/>
          <w:iCs w:val="0"/>
          <w:sz w:val="32"/>
          <w:szCs w:val="32"/>
          <w:lang w:eastAsia="zh-CN"/>
        </w:rPr>
        <w:t xml:space="preserve">企业不动产登记方面，对不符合管理条件，但工程质量安全可以保证的，相关部门应主动帮助补齐材料；无法补办的，应明确处置方案。（市自然资源和规划局、市住建局，各县区政府、园区管委会按职责分工负责) </w:t>
      </w:r>
    </w:p>
    <w:p>
      <w:pPr>
        <w:keepNext w:val="0"/>
        <w:keepLines w:val="0"/>
        <w:pageBreakBefore w:val="0"/>
        <w:kinsoku/>
        <w:wordWrap/>
        <w:overflowPunct/>
        <w:topLinePunct w:val="0"/>
        <w:autoSpaceDE/>
        <w:autoSpaceDN/>
        <w:bidi w:val="0"/>
        <w:adjustRightInd/>
        <w:snapToGrid/>
        <w:spacing w:line="240" w:lineRule="auto"/>
        <w:ind w:leftChars="0" w:firstLine="640" w:firstLineChars="200"/>
        <w:rPr>
          <w:rFonts w:hint="eastAsia" w:eastAsia="方正仿宋_GBK"/>
          <w:b/>
          <w:bCs/>
          <w:color w:val="000000"/>
          <w:sz w:val="32"/>
          <w:szCs w:val="32"/>
          <w:lang w:eastAsia="zh-CN"/>
        </w:rPr>
      </w:pPr>
      <w:r>
        <w:rPr>
          <w:rFonts w:hint="eastAsia" w:eastAsia="方正仿宋_GBK"/>
          <w:b/>
          <w:bCs/>
          <w:color w:val="000000"/>
          <w:sz w:val="32"/>
          <w:szCs w:val="32"/>
          <w:lang w:eastAsia="zh-CN"/>
        </w:rPr>
        <w:t>三、健全平等保护的法治环境</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640" w:firstLineChars="200"/>
        <w:jc w:val="left"/>
        <w:textAlignment w:val="baseline"/>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eastAsia="方正仿宋_GBK"/>
          <w:b/>
          <w:bCs/>
          <w:color w:val="000000"/>
          <w:sz w:val="32"/>
          <w:szCs w:val="32"/>
          <w:lang w:eastAsia="zh-CN"/>
        </w:rPr>
        <w:t>（十五）强化企业营商环境监督。</w:t>
      </w:r>
      <w:r>
        <w:rPr>
          <w:rFonts w:hint="default" w:ascii="Times New Roman" w:hAnsi="Times New Roman" w:eastAsia="仿宋_GB2312" w:cs="Times New Roman"/>
          <w:color w:val="000000" w:themeColor="text1"/>
          <w:sz w:val="32"/>
          <w:szCs w:val="32"/>
          <w14:textFill>
            <w14:solidFill>
              <w14:schemeClr w14:val="tx1"/>
            </w14:solidFill>
          </w14:textFill>
        </w:rPr>
        <w:t>聚焦企业生产经营的难点痛点堵点，对重点领域、重点行业、重点部门开展专项监督。</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持续做好</w:t>
      </w:r>
      <w:r>
        <w:rPr>
          <w:rFonts w:hint="default" w:ascii="Times New Roman" w:hAnsi="Times New Roman" w:eastAsia="仿宋_GB2312" w:cs="Times New Roman"/>
          <w:color w:val="000000" w:themeColor="text1"/>
          <w:sz w:val="32"/>
          <w:szCs w:val="32"/>
          <w14:textFill>
            <w14:solidFill>
              <w14:schemeClr w14:val="tx1"/>
            </w14:solidFill>
          </w14:textFill>
        </w:rPr>
        <w:t>营商环境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12345专线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投诉</w:t>
      </w:r>
      <w:r>
        <w:rPr>
          <w:rFonts w:hint="default" w:ascii="Times New Roman" w:hAnsi="Times New Roman" w:eastAsia="仿宋_GB2312" w:cs="Times New Roman"/>
          <w:color w:val="000000" w:themeColor="text1"/>
          <w:sz w:val="32"/>
          <w:szCs w:val="32"/>
          <w14:textFill>
            <w14:solidFill>
              <w14:schemeClr w14:val="tx1"/>
            </w14:solidFill>
          </w14:textFill>
        </w:rPr>
        <w:t>举报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案件办理</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及时回应企业和群众关切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w:t>
      </w:r>
      <w:r>
        <w:rPr>
          <w:rFonts w:hint="eastAsia" w:ascii="仿宋" w:hAnsi="仿宋" w:eastAsia="仿宋" w:cs="仿宋"/>
          <w:b w:val="0"/>
          <w:bCs w:val="0"/>
          <w:color w:val="auto"/>
          <w:sz w:val="32"/>
          <w:szCs w:val="32"/>
          <w:u w:val="none"/>
          <w:lang w:eastAsia="zh-CN"/>
        </w:rPr>
        <w:t>市政府办、市委督查室、市政务服务局，</w:t>
      </w:r>
      <w:r>
        <w:rPr>
          <w:rFonts w:hint="eastAsia" w:ascii="仿宋" w:hAnsi="仿宋" w:eastAsia="仿宋" w:cs="仿宋"/>
          <w:b w:val="0"/>
          <w:bCs w:val="0"/>
          <w:color w:val="000000" w:themeColor="text1"/>
          <w:sz w:val="32"/>
          <w:szCs w:val="32"/>
          <w:lang w:eastAsia="zh-CN"/>
          <w14:textFill>
            <w14:solidFill>
              <w14:schemeClr w14:val="tx1"/>
            </w14:solidFill>
          </w14:textFill>
        </w:rPr>
        <w:t>各县区政府、园区管委会</w:t>
      </w:r>
      <w:r>
        <w:rPr>
          <w:rFonts w:hint="eastAsia" w:ascii="仿宋_GB2312" w:hAnsi="仿宋_GB2312" w:eastAsia="仿宋_GB2312" w:cs="仿宋_GB2312"/>
          <w:b w:val="0"/>
          <w:bCs w:val="0"/>
          <w:i w:val="0"/>
          <w:iCs w:val="0"/>
          <w:sz w:val="32"/>
          <w:szCs w:val="32"/>
          <w:lang w:eastAsia="zh-CN"/>
        </w:rPr>
        <w:t>按职责分工负责</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leftChars="0" w:firstLine="640" w:firstLineChars="200"/>
        <w:rPr>
          <w:rFonts w:hint="eastAsia" w:ascii="仿宋_GB2312" w:hAnsi="仿宋_GB2312" w:eastAsia="仿宋_GB2312" w:cs="仿宋_GB2312"/>
          <w:b w:val="0"/>
          <w:bCs w:val="0"/>
          <w:i w:val="0"/>
          <w:iCs w:val="0"/>
          <w:sz w:val="32"/>
          <w:szCs w:val="32"/>
          <w:lang w:eastAsia="zh-CN"/>
        </w:rPr>
      </w:pPr>
      <w:r>
        <w:rPr>
          <w:rFonts w:hint="eastAsia" w:eastAsia="方正仿宋_GBK"/>
          <w:b/>
          <w:bCs/>
          <w:color w:val="000000"/>
          <w:sz w:val="32"/>
          <w:szCs w:val="32"/>
          <w:lang w:eastAsia="zh-CN"/>
        </w:rPr>
        <w:t>（十六）健全执法司法对民营企业平等保护机制。</w:t>
      </w:r>
      <w:r>
        <w:rPr>
          <w:rFonts w:hint="eastAsia" w:ascii="仿宋_GB2312" w:hAnsi="仿宋_GB2312" w:eastAsia="仿宋_GB2312" w:cs="仿宋_GB2312"/>
          <w:b w:val="0"/>
          <w:bCs w:val="0"/>
          <w:i w:val="0"/>
          <w:iCs w:val="0"/>
          <w:sz w:val="32"/>
          <w:szCs w:val="32"/>
          <w:lang w:eastAsia="zh-CN"/>
        </w:rPr>
        <w:t>依法惩治侵犯民营企业投资者、管理者和从业人员合法权益的违法犯罪。对重大、复杂涉民营企业执行案件，依法实行指定执行、交叉执行、联合执行和提级执行，执行查办有关案件时需要民营企业有关人员协助调查并对其采取留置措施的，要严格遵守监察法有关规定，精准实施审查调查留置措施，依法慎用羁押性强制措施和查封、扣押、冻结等措施。(市纪委监委、市委政法委、市中院、市检察院、市公安局等部门按职责分工负责)</w:t>
      </w:r>
    </w:p>
    <w:p>
      <w:pPr>
        <w:keepNext w:val="0"/>
        <w:keepLines w:val="0"/>
        <w:pageBreakBefore w:val="0"/>
        <w:kinsoku/>
        <w:wordWrap/>
        <w:overflowPunct/>
        <w:topLinePunct w:val="0"/>
        <w:autoSpaceDE/>
        <w:autoSpaceDN/>
        <w:bidi w:val="0"/>
        <w:adjustRightInd/>
        <w:snapToGrid/>
        <w:spacing w:line="240" w:lineRule="auto"/>
        <w:ind w:leftChars="0" w:firstLine="640" w:firstLineChars="200"/>
        <w:rPr>
          <w:rFonts w:hint="eastAsia" w:ascii="仿宋_GB2312" w:hAnsi="仿宋_GB2312" w:eastAsia="仿宋_GB2312" w:cs="仿宋_GB2312"/>
          <w:b w:val="0"/>
          <w:bCs w:val="0"/>
          <w:i w:val="0"/>
          <w:iCs w:val="0"/>
          <w:sz w:val="32"/>
          <w:szCs w:val="32"/>
          <w:lang w:eastAsia="zh-CN"/>
        </w:rPr>
      </w:pPr>
      <w:r>
        <w:rPr>
          <w:rFonts w:hint="eastAsia" w:eastAsia="方正仿宋_GBK"/>
          <w:b/>
          <w:bCs/>
          <w:color w:val="000000"/>
          <w:sz w:val="32"/>
          <w:szCs w:val="32"/>
          <w:lang w:eastAsia="zh-CN"/>
        </w:rPr>
        <w:t>（十七）保护民营企业和企业家合法财产。</w:t>
      </w:r>
      <w:r>
        <w:rPr>
          <w:rFonts w:eastAsia="方正仿宋_GBK"/>
          <w:color w:val="000000"/>
          <w:sz w:val="32"/>
          <w:szCs w:val="32"/>
        </w:rPr>
        <w:t>加强对民营企业和企业家的正当财富和合法财产保护，</w:t>
      </w:r>
      <w:r>
        <w:rPr>
          <w:rFonts w:hint="eastAsia" w:ascii="仿宋_GB2312" w:hAnsi="仿宋_GB2312" w:eastAsia="仿宋_GB2312" w:cs="仿宋_GB2312"/>
          <w:b w:val="0"/>
          <w:bCs w:val="0"/>
          <w:i w:val="0"/>
          <w:iCs w:val="0"/>
          <w:sz w:val="32"/>
          <w:szCs w:val="32"/>
          <w:lang w:eastAsia="zh-CN"/>
        </w:rPr>
        <w:t>严格按照法定程序采取查封、扣押、冻结等措施，依法严格区分违法所得、其他涉案财产与合法财产，严格区分企业法人财产与股东个人财产，严格区分涉案人员个人财产与家庭成员财产。</w:t>
      </w:r>
      <w:r>
        <w:rPr>
          <w:rFonts w:eastAsia="方正仿宋_GBK"/>
          <w:color w:val="000000"/>
          <w:sz w:val="32"/>
          <w:szCs w:val="32"/>
        </w:rPr>
        <w:t>细化涉案企业和人员财产处置规则，严格规范涉案财产处置，维护涉案企业和人员的合法权益。</w:t>
      </w:r>
      <w:r>
        <w:rPr>
          <w:rFonts w:hint="eastAsia" w:ascii="仿宋_GB2312" w:hAnsi="仿宋_GB2312" w:eastAsia="仿宋_GB2312" w:cs="仿宋_GB2312"/>
          <w:b w:val="0"/>
          <w:bCs w:val="0"/>
          <w:i w:val="0"/>
          <w:iCs w:val="0"/>
          <w:sz w:val="32"/>
          <w:szCs w:val="32"/>
          <w:lang w:eastAsia="zh-CN"/>
        </w:rPr>
        <w:t>建立完善涉民营企业及经营者冤错案件甄别纠正常态化工作机制。开展涉政府产权纠纷问题专项治理行动，建立健全治理长效机制。(市委政法委、市中院、市检察院、市发改委、市公安局、市司法局等按职责分工负责)</w:t>
      </w:r>
    </w:p>
    <w:p>
      <w:pPr>
        <w:keepNext w:val="0"/>
        <w:keepLines w:val="0"/>
        <w:pageBreakBefore w:val="0"/>
        <w:kinsoku/>
        <w:wordWrap/>
        <w:overflowPunct/>
        <w:topLinePunct w:val="0"/>
        <w:autoSpaceDE/>
        <w:autoSpaceDN/>
        <w:bidi w:val="0"/>
        <w:adjustRightInd/>
        <w:snapToGrid/>
        <w:spacing w:line="240" w:lineRule="auto"/>
        <w:ind w:leftChars="0" w:firstLine="640" w:firstLineChars="200"/>
        <w:rPr>
          <w:rFonts w:hint="eastAsia" w:eastAsia="方正仿宋_GBK"/>
          <w:b/>
          <w:bCs/>
          <w:color w:val="000000"/>
          <w:sz w:val="32"/>
          <w:szCs w:val="32"/>
          <w:lang w:eastAsia="zh-CN"/>
        </w:rPr>
      </w:pPr>
      <w:r>
        <w:rPr>
          <w:rFonts w:hint="eastAsia" w:eastAsia="方正仿宋_GBK"/>
          <w:b/>
          <w:bCs/>
          <w:color w:val="000000"/>
          <w:sz w:val="32"/>
          <w:szCs w:val="32"/>
          <w:lang w:eastAsia="zh-CN"/>
        </w:rPr>
        <w:t>四、鼓励引导民营企业改革创新</w:t>
      </w:r>
    </w:p>
    <w:p>
      <w:pPr>
        <w:pStyle w:val="4"/>
        <w:keepNext w:val="0"/>
        <w:keepLines w:val="0"/>
        <w:pageBreakBefore w:val="0"/>
        <w:widowControl/>
        <w:numPr>
          <w:ilvl w:val="0"/>
          <w:numId w:val="0"/>
        </w:numPr>
        <w:suppressLineNumbers w:val="0"/>
        <w:pBdr>
          <w:bottom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仿宋" w:hAnsi="仿宋" w:eastAsia="仿宋" w:cs="仿宋"/>
          <w:color w:val="000000" w:themeColor="text1"/>
          <w:sz w:val="32"/>
          <w:szCs w:val="32"/>
          <w:shd w:val="clear" w:fill="FFFFFF"/>
          <w:lang w:eastAsia="zh-CN"/>
          <w14:textFill>
            <w14:solidFill>
              <w14:schemeClr w14:val="tx1"/>
            </w14:solidFill>
          </w14:textFill>
        </w:rPr>
      </w:pPr>
      <w:r>
        <w:rPr>
          <w:rFonts w:hint="eastAsia" w:eastAsia="方正仿宋_GBK" w:asciiTheme="minorHAnsi" w:hAnsiTheme="minorHAnsi" w:cstheme="minorBidi"/>
          <w:b/>
          <w:bCs/>
          <w:color w:val="000000"/>
          <w:kern w:val="2"/>
          <w:sz w:val="32"/>
          <w:szCs w:val="32"/>
          <w:lang w:val="en-US" w:eastAsia="zh-CN" w:bidi="ar-SA"/>
        </w:rPr>
        <w:t>(十八)支持民营企业创新发展。</w:t>
      </w:r>
      <w:r>
        <w:rPr>
          <w:rFonts w:hint="eastAsia" w:ascii="仿宋" w:hAnsi="仿宋" w:eastAsia="仿宋" w:cs="仿宋"/>
          <w:color w:val="000000" w:themeColor="text1"/>
          <w:sz w:val="32"/>
          <w:szCs w:val="32"/>
          <w:shd w:val="clear" w:fill="FFFFFF"/>
          <w14:textFill>
            <w14:solidFill>
              <w14:schemeClr w14:val="tx1"/>
            </w14:solidFill>
          </w14:textFill>
        </w:rPr>
        <w:t>实施</w:t>
      </w:r>
      <w:r>
        <w:rPr>
          <w:rFonts w:hint="eastAsia" w:ascii="仿宋" w:hAnsi="仿宋" w:eastAsia="仿宋" w:cs="仿宋"/>
          <w:color w:val="000000" w:themeColor="text1"/>
          <w:sz w:val="32"/>
          <w:szCs w:val="32"/>
          <w:shd w:val="clear" w:fill="FFFFFF"/>
          <w:lang w:eastAsia="zh-CN"/>
          <w14:textFill>
            <w14:solidFill>
              <w14:schemeClr w14:val="tx1"/>
            </w14:solidFill>
          </w14:textFill>
        </w:rPr>
        <w:t>民营经济上台阶行</w:t>
      </w:r>
    </w:p>
    <w:p>
      <w:pPr>
        <w:pStyle w:val="4"/>
        <w:keepNext w:val="0"/>
        <w:keepLines w:val="0"/>
        <w:pageBreakBefore w:val="0"/>
        <w:widowControl/>
        <w:numPr>
          <w:ilvl w:val="0"/>
          <w:numId w:val="0"/>
        </w:numPr>
        <w:suppressLineNumbers w:val="0"/>
        <w:pBdr>
          <w:bottom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rPr>
          <w:rFonts w:hint="eastAsia" w:ascii="仿宋" w:hAnsi="仿宋" w:eastAsia="仿宋" w:cs="仿宋"/>
          <w:b w:val="0"/>
          <w:bCs w:val="0"/>
          <w:color w:val="000000" w:themeColor="text1"/>
          <w:sz w:val="32"/>
          <w:szCs w:val="32"/>
          <w:shd w:val="clear" w:fill="FFFFFF"/>
          <w14:textFill>
            <w14:solidFill>
              <w14:schemeClr w14:val="tx1"/>
            </w14:solidFill>
          </w14:textFill>
        </w:rPr>
      </w:pPr>
      <w:r>
        <w:rPr>
          <w:rFonts w:hint="eastAsia" w:ascii="仿宋" w:hAnsi="仿宋" w:eastAsia="仿宋" w:cs="仿宋"/>
          <w:color w:val="000000" w:themeColor="text1"/>
          <w:sz w:val="32"/>
          <w:szCs w:val="32"/>
          <w:shd w:val="clear" w:fill="FFFFFF"/>
          <w:lang w:eastAsia="zh-CN"/>
          <w14:textFill>
            <w14:solidFill>
              <w14:schemeClr w14:val="tx1"/>
            </w14:solidFill>
          </w14:textFill>
        </w:rPr>
        <w:t>动计划、新一轮技术改造专项行动、高新技术企业加速成长行动，培育一批行业领军型和成长创新型民营企业。</w:t>
      </w:r>
      <w:r>
        <w:rPr>
          <w:rFonts w:hint="eastAsia" w:ascii="仿宋" w:hAnsi="仿宋" w:eastAsia="仿宋" w:cs="仿宋"/>
          <w:color w:val="000000" w:themeColor="text1"/>
          <w:sz w:val="32"/>
          <w:szCs w:val="32"/>
          <w:shd w:val="clear" w:fill="FFFFFF"/>
          <w14:textFill>
            <w14:solidFill>
              <w14:schemeClr w14:val="tx1"/>
            </w14:solidFill>
          </w14:textFill>
        </w:rPr>
        <w:t>建立和完善</w:t>
      </w:r>
      <w:r>
        <w:rPr>
          <w:rFonts w:hint="eastAsia" w:ascii="仿宋" w:hAnsi="仿宋" w:eastAsia="仿宋" w:cs="仿宋"/>
          <w:color w:val="000000" w:themeColor="text1"/>
          <w:sz w:val="32"/>
          <w:szCs w:val="32"/>
          <w14:textFill>
            <w14:solidFill>
              <w14:schemeClr w14:val="tx1"/>
            </w14:solidFill>
          </w14:textFill>
        </w:rPr>
        <w:t>“专精特新”</w:t>
      </w:r>
      <w:r>
        <w:rPr>
          <w:rFonts w:hint="eastAsia" w:ascii="仿宋" w:hAnsi="仿宋" w:eastAsia="仿宋" w:cs="仿宋"/>
          <w:color w:val="000000" w:themeColor="text1"/>
          <w:kern w:val="0"/>
          <w:sz w:val="32"/>
          <w:szCs w:val="32"/>
          <w14:textFill>
            <w14:solidFill>
              <w14:schemeClr w14:val="tx1"/>
            </w14:solidFill>
          </w14:textFill>
        </w:rPr>
        <w:t xml:space="preserve"> 中小企业</w:t>
      </w:r>
      <w:r>
        <w:rPr>
          <w:rFonts w:hint="eastAsia" w:ascii="仿宋" w:hAnsi="仿宋" w:eastAsia="仿宋" w:cs="仿宋"/>
          <w:color w:val="000000" w:themeColor="text1"/>
          <w:sz w:val="32"/>
          <w:szCs w:val="32"/>
          <w:shd w:val="clear" w:fill="FFFFFF"/>
          <w14:textFill>
            <w14:solidFill>
              <w14:schemeClr w14:val="tx1"/>
            </w14:solidFill>
          </w14:textFill>
        </w:rPr>
        <w:t>培育库，</w:t>
      </w:r>
      <w:r>
        <w:rPr>
          <w:rFonts w:hint="eastAsia" w:ascii="仿宋" w:hAnsi="仿宋" w:eastAsia="仿宋" w:cs="仿宋"/>
          <w:color w:val="000000" w:themeColor="text1"/>
          <w:sz w:val="32"/>
          <w:szCs w:val="32"/>
          <w:shd w:val="clear" w:fill="FFFFFF"/>
          <w:lang w:eastAsia="zh-CN"/>
          <w14:textFill>
            <w14:solidFill>
              <w14:schemeClr w14:val="tx1"/>
            </w14:solidFill>
          </w14:textFill>
        </w:rPr>
        <w:t>重点技术改造项目培育库。</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引导中小民营企业走“专精特新”发展之路，</w:t>
      </w:r>
      <w:r>
        <w:rPr>
          <w:rFonts w:hint="eastAsia" w:ascii="仿宋" w:hAnsi="仿宋" w:eastAsia="仿宋" w:cs="仿宋"/>
          <w:color w:val="000000" w:themeColor="text1"/>
          <w:sz w:val="32"/>
          <w:szCs w:val="32"/>
          <w14:textFill>
            <w14:solidFill>
              <w14:schemeClr w14:val="tx1"/>
            </w14:solidFill>
          </w14:textFill>
        </w:rPr>
        <w:t>争创一批省专精特新冠军企业、国家级专精特新“小巨人”和制造业“单项冠军”企业。</w:t>
      </w:r>
      <w:r>
        <w:rPr>
          <w:rFonts w:hint="eastAsia" w:ascii="仿宋" w:hAnsi="仿宋" w:eastAsia="仿宋" w:cs="仿宋"/>
          <w:color w:val="000000" w:themeColor="text1"/>
          <w:sz w:val="32"/>
          <w:szCs w:val="32"/>
          <w:shd w:val="clear" w:fill="FFFFFF"/>
          <w14:textFill>
            <w14:solidFill>
              <w14:schemeClr w14:val="tx1"/>
            </w14:solidFill>
          </w14:textFill>
        </w:rPr>
        <w:t>支持引导民营企业引进包括优秀职业经理人、</w:t>
      </w:r>
      <w:r>
        <w:rPr>
          <w:rFonts w:hint="eastAsia" w:ascii="仿宋" w:hAnsi="仿宋" w:eastAsia="仿宋" w:cs="仿宋"/>
          <w:color w:val="auto"/>
          <w:sz w:val="32"/>
          <w:szCs w:val="32"/>
          <w:u w:val="none"/>
          <w:shd w:val="clear" w:fill="FFFFFF"/>
          <w:lang w:eastAsia="zh-CN"/>
        </w:rPr>
        <w:t>专业</w:t>
      </w:r>
      <w:r>
        <w:rPr>
          <w:rFonts w:hint="eastAsia" w:ascii="仿宋" w:hAnsi="仿宋" w:eastAsia="仿宋" w:cs="仿宋"/>
          <w:color w:val="000000" w:themeColor="text1"/>
          <w:sz w:val="32"/>
          <w:szCs w:val="32"/>
          <w:shd w:val="clear" w:fill="FFFFFF"/>
          <w14:textFill>
            <w14:solidFill>
              <w14:schemeClr w14:val="tx1"/>
            </w14:solidFill>
          </w14:textFill>
        </w:rPr>
        <w:t>技术人才在内的各类急需紧缺人才，符合条件的，纳入高层次人才引进计划予以支持。创新民营企业人才评价机制，开辟职称认定绿色通道。鼓励利用闲置用房、校舍、厂房等，培育引进一批人力资源服务机构，对入驻机构在一定期限内给予租金减免</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w:t>
      </w:r>
      <w:r>
        <w:rPr>
          <w:rFonts w:hint="eastAsia" w:ascii="仿宋" w:hAnsi="仿宋" w:eastAsia="仿宋" w:cs="仿宋"/>
          <w:b w:val="0"/>
          <w:bCs w:val="0"/>
          <w:color w:val="000000" w:themeColor="text1"/>
          <w:sz w:val="32"/>
          <w:szCs w:val="32"/>
          <w:shd w:val="clear" w:fill="FFFFFF"/>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市发改委</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、市教体局、市科技局、市经信局、市公安局、市人社局，各县区政府、园区管委会等按职责分工负责</w:t>
      </w:r>
      <w:r>
        <w:rPr>
          <w:rFonts w:hint="eastAsia" w:ascii="仿宋" w:hAnsi="仿宋" w:eastAsia="仿宋" w:cs="仿宋"/>
          <w:b w:val="0"/>
          <w:bCs w:val="0"/>
          <w:color w:val="000000" w:themeColor="text1"/>
          <w:sz w:val="32"/>
          <w:szCs w:val="32"/>
          <w:shd w:val="clear" w:fill="FFFFFF"/>
          <w14:textFill>
            <w14:solidFill>
              <w14:schemeClr w14:val="tx1"/>
            </w14:solidFill>
          </w14:textFill>
        </w:rPr>
        <w:t>）</w:t>
      </w:r>
    </w:p>
    <w:p>
      <w:pPr>
        <w:pStyle w:val="4"/>
        <w:keepNext w:val="0"/>
        <w:keepLines w:val="0"/>
        <w:pageBreakBefore w:val="0"/>
        <w:widowControl/>
        <w:numPr>
          <w:ilvl w:val="0"/>
          <w:numId w:val="0"/>
        </w:numPr>
        <w:suppressLineNumbers w:val="0"/>
        <w:pBdr>
          <w:bottom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pPr>
      <w:r>
        <w:rPr>
          <w:rFonts w:hint="eastAsia" w:eastAsia="方正仿宋_GBK" w:asciiTheme="minorHAnsi" w:hAnsiTheme="minorHAnsi" w:cstheme="minorBidi"/>
          <w:b/>
          <w:bCs/>
          <w:color w:val="000000"/>
          <w:kern w:val="2"/>
          <w:sz w:val="32"/>
          <w:szCs w:val="32"/>
          <w:lang w:val="en-US" w:eastAsia="zh-CN" w:bidi="ar-SA"/>
        </w:rPr>
        <w:t>（十九）鼓励民营企业转型升级优化重组。</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鼓励民营优势企业通过并购重组，整合产业链上下游资源做优做强，对符合条件的重大企业兼并重组项目按有关规定给予支持。鼓励民营企业参与国有企业重大投资、成果转化和资产整合项目，符合条件的民营企业可获得控制权。加强上市挂牌后备企业培育工作，建立健全后备企业资源库，推进后备企业规范达标</w:t>
      </w:r>
      <w:r>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t>,做好上市挂牌后备企业的超前服务意识</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。（市中院、</w:t>
      </w:r>
      <w:r>
        <w:rPr>
          <w:rFonts w:hint="eastAsia" w:ascii="仿宋" w:hAnsi="仿宋" w:eastAsia="仿宋" w:cs="仿宋"/>
          <w:b w:val="0"/>
          <w:bCs w:val="0"/>
          <w:color w:val="000000" w:themeColor="text1"/>
          <w:sz w:val="32"/>
          <w:szCs w:val="32"/>
          <w14:textFill>
            <w14:solidFill>
              <w14:schemeClr w14:val="tx1"/>
            </w14:solidFill>
          </w14:textFill>
        </w:rPr>
        <w:t>市发改委</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市经信局、市财政局</w:t>
      </w:r>
      <w:r>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t>(国资委)、</w:t>
      </w:r>
      <w:r>
        <w:rPr>
          <w:rFonts w:hint="eastAsia" w:ascii="仿宋_GB2312" w:hAnsi="仿宋_GB2312" w:eastAsia="仿宋_GB2312" w:cs="仿宋_GB2312"/>
          <w:b w:val="0"/>
          <w:bCs w:val="0"/>
          <w:i w:val="0"/>
          <w:iCs w:val="0"/>
          <w:sz w:val="32"/>
          <w:szCs w:val="32"/>
        </w:rPr>
        <w:t>市地方金融监管局</w:t>
      </w:r>
      <w:r>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t>等按职责分工负责</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w:t>
      </w:r>
    </w:p>
    <w:p>
      <w:pPr>
        <w:pStyle w:val="4"/>
        <w:keepNext w:val="0"/>
        <w:keepLines w:val="0"/>
        <w:pageBreakBefore w:val="0"/>
        <w:widowControl/>
        <w:numPr>
          <w:ilvl w:val="0"/>
          <w:numId w:val="0"/>
        </w:numPr>
        <w:suppressLineNumbers w:val="0"/>
        <w:pBdr>
          <w:bottom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仿宋" w:hAnsi="仿宋" w:eastAsia="仿宋" w:cs="仿宋"/>
          <w:color w:val="000000" w:themeColor="text1"/>
          <w:sz w:val="32"/>
          <w:szCs w:val="32"/>
          <w:shd w:val="clear" w:fill="FFFFFF"/>
          <w14:textFill>
            <w14:solidFill>
              <w14:schemeClr w14:val="tx1"/>
            </w14:solidFill>
          </w14:textFill>
        </w:rPr>
      </w:pPr>
      <w:r>
        <w:rPr>
          <w:rFonts w:hint="eastAsia" w:eastAsia="方正仿宋_GBK" w:asciiTheme="minorHAnsi" w:hAnsiTheme="minorHAnsi" w:cstheme="minorBidi"/>
          <w:b/>
          <w:bCs/>
          <w:color w:val="000000"/>
          <w:kern w:val="2"/>
          <w:sz w:val="32"/>
          <w:szCs w:val="32"/>
          <w:lang w:val="en-US" w:eastAsia="zh-CN" w:bidi="ar-SA"/>
        </w:rPr>
        <w:t>（二十）支持民营企业参与重大战略实施计划。</w:t>
      </w:r>
      <w:r>
        <w:rPr>
          <w:rFonts w:hint="eastAsia" w:ascii="仿宋" w:hAnsi="仿宋" w:eastAsia="仿宋" w:cs="仿宋"/>
          <w:color w:val="000000" w:themeColor="text1"/>
          <w:sz w:val="32"/>
          <w:szCs w:val="32"/>
          <w:shd w:val="clear" w:fill="FFFFFF"/>
          <w14:textFill>
            <w14:solidFill>
              <w14:schemeClr w14:val="tx1"/>
            </w14:solidFill>
          </w14:textFill>
        </w:rPr>
        <w:t>鼓励我</w:t>
      </w:r>
      <w:r>
        <w:rPr>
          <w:rFonts w:hint="eastAsia" w:ascii="仿宋" w:hAnsi="仿宋" w:eastAsia="仿宋" w:cs="仿宋"/>
          <w:color w:val="000000" w:themeColor="text1"/>
          <w:sz w:val="32"/>
          <w:szCs w:val="32"/>
          <w:shd w:val="clear" w:fill="FFFFFF"/>
          <w:lang w:eastAsia="zh-CN"/>
          <w14:textFill>
            <w14:solidFill>
              <w14:schemeClr w14:val="tx1"/>
            </w14:solidFill>
          </w14:textFill>
        </w:rPr>
        <w:t>市</w:t>
      </w:r>
      <w:r>
        <w:rPr>
          <w:rFonts w:hint="eastAsia" w:ascii="仿宋" w:hAnsi="仿宋" w:eastAsia="仿宋" w:cs="仿宋"/>
          <w:color w:val="000000" w:themeColor="text1"/>
          <w:sz w:val="32"/>
          <w:szCs w:val="32"/>
          <w:shd w:val="clear" w:fill="FFFFFF"/>
          <w14:textFill>
            <w14:solidFill>
              <w14:schemeClr w14:val="tx1"/>
            </w14:solidFill>
          </w14:textFill>
        </w:rPr>
        <w:t>民营企业</w:t>
      </w:r>
      <w:r>
        <w:rPr>
          <w:rFonts w:hint="eastAsia" w:ascii="仿宋" w:hAnsi="仿宋" w:eastAsia="仿宋" w:cs="仿宋"/>
          <w:color w:val="000000" w:themeColor="text1"/>
          <w:sz w:val="32"/>
          <w:szCs w:val="32"/>
          <w:shd w:val="clear" w:fill="FFFFFF"/>
          <w:lang w:eastAsia="zh-CN"/>
          <w14:textFill>
            <w14:solidFill>
              <w14:schemeClr w14:val="tx1"/>
            </w14:solidFill>
          </w14:textFill>
        </w:rPr>
        <w:t>积极</w:t>
      </w:r>
      <w:r>
        <w:rPr>
          <w:rFonts w:hint="eastAsia" w:ascii="仿宋" w:hAnsi="仿宋" w:eastAsia="仿宋" w:cs="仿宋"/>
          <w:color w:val="000000" w:themeColor="text1"/>
          <w:sz w:val="32"/>
          <w:szCs w:val="32"/>
          <w:shd w:val="clear" w:fill="FFFFFF"/>
          <w14:textFill>
            <w14:solidFill>
              <w14:schemeClr w14:val="tx1"/>
            </w14:solidFill>
          </w14:textFill>
        </w:rPr>
        <w:t>参与“一带一路”</w:t>
      </w:r>
      <w:r>
        <w:rPr>
          <w:rFonts w:hint="eastAsia" w:ascii="仿宋" w:hAnsi="仿宋" w:eastAsia="仿宋" w:cs="仿宋"/>
          <w:color w:val="000000" w:themeColor="text1"/>
          <w:sz w:val="32"/>
          <w:szCs w:val="32"/>
          <w:shd w:val="clear" w:fill="FFFFFF"/>
          <w:lang w:eastAsia="zh-CN"/>
          <w14:textFill>
            <w14:solidFill>
              <w14:schemeClr w14:val="tx1"/>
            </w14:solidFill>
          </w14:textFill>
        </w:rPr>
        <w:t>和长江经济带发展、长三角区域一体化发展、中部崛起</w:t>
      </w:r>
      <w:r>
        <w:rPr>
          <w:rFonts w:hint="eastAsia" w:ascii="仿宋" w:hAnsi="仿宋" w:eastAsia="仿宋" w:cs="仿宋"/>
          <w:color w:val="000000" w:themeColor="text1"/>
          <w:sz w:val="32"/>
          <w:szCs w:val="32"/>
          <w:shd w:val="clear" w:fill="FFFFFF"/>
          <w14:textFill>
            <w14:solidFill>
              <w14:schemeClr w14:val="tx1"/>
            </w14:solidFill>
          </w14:textFill>
        </w:rPr>
        <w:t>等重大国家战略建设。积极吸引民营企业参与重大规划、重大项目、重大工程、重大活动。</w:t>
      </w:r>
    </w:p>
    <w:p>
      <w:pPr>
        <w:pStyle w:val="4"/>
        <w:keepNext w:val="0"/>
        <w:keepLines w:val="0"/>
        <w:pageBreakBefore w:val="0"/>
        <w:widowControl/>
        <w:numPr>
          <w:ilvl w:val="0"/>
          <w:numId w:val="0"/>
        </w:numPr>
        <w:suppressLineNumbers w:val="0"/>
        <w:pBdr>
          <w:bottom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rPr>
          <w:rFonts w:hint="eastAsia" w:ascii="仿宋" w:hAnsi="仿宋" w:eastAsia="仿宋" w:cs="仿宋"/>
          <w:color w:val="000000" w:themeColor="text1"/>
          <w:sz w:val="32"/>
          <w:szCs w:val="32"/>
          <w:shd w:val="clear" w:fill="FFFFFF"/>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支持企业开展经贸和技术研发合作，扩大贸易规模。（市发改委、市科技局、市经信局、</w:t>
      </w:r>
      <w:r>
        <w:rPr>
          <w:rFonts w:hint="eastAsia" w:ascii="仿宋" w:hAnsi="仿宋" w:eastAsia="仿宋" w:cs="仿宋"/>
          <w:color w:val="000000" w:themeColor="text1"/>
          <w:sz w:val="32"/>
          <w:szCs w:val="32"/>
          <w:shd w:val="clear" w:fill="FFFFFF"/>
          <w:lang w:eastAsia="zh-CN"/>
          <w14:textFill>
            <w14:solidFill>
              <w14:schemeClr w14:val="tx1"/>
            </w14:solidFill>
          </w14:textFill>
        </w:rPr>
        <w:t>市商务局、</w:t>
      </w:r>
      <w:r>
        <w:rPr>
          <w:rFonts w:hint="eastAsia" w:ascii="仿宋" w:hAnsi="仿宋" w:eastAsia="仿宋" w:cs="仿宋"/>
          <w:color w:val="000000" w:themeColor="text1"/>
          <w:sz w:val="32"/>
          <w:szCs w:val="32"/>
          <w:shd w:val="clear" w:fill="FFFFFF"/>
          <w14:textFill>
            <w14:solidFill>
              <w14:schemeClr w14:val="tx1"/>
            </w14:solidFill>
          </w14:textFill>
        </w:rPr>
        <w:t>市生态环境局、市市场监管局等按职责分工负责）</w:t>
      </w:r>
    </w:p>
    <w:p>
      <w:pPr>
        <w:keepNext w:val="0"/>
        <w:keepLines w:val="0"/>
        <w:pageBreakBefore w:val="0"/>
        <w:kinsoku/>
        <w:wordWrap/>
        <w:overflowPunct/>
        <w:topLinePunct w:val="0"/>
        <w:autoSpaceDE/>
        <w:autoSpaceDN/>
        <w:bidi w:val="0"/>
        <w:adjustRightInd/>
        <w:snapToGrid/>
        <w:spacing w:line="240" w:lineRule="auto"/>
        <w:ind w:leftChars="0" w:firstLine="640" w:firstLineChars="200"/>
        <w:rPr>
          <w:rFonts w:hint="eastAsia" w:eastAsia="方正仿宋_GBK"/>
          <w:b/>
          <w:bCs/>
          <w:color w:val="000000"/>
          <w:sz w:val="32"/>
          <w:szCs w:val="32"/>
          <w:lang w:val="en-US" w:eastAsia="zh-CN"/>
        </w:rPr>
      </w:pPr>
      <w:r>
        <w:rPr>
          <w:rFonts w:hint="eastAsia" w:eastAsia="方正仿宋_GBK"/>
          <w:b/>
          <w:bCs/>
          <w:color w:val="000000"/>
          <w:sz w:val="32"/>
          <w:szCs w:val="32"/>
          <w:lang w:val="en-US" w:eastAsia="zh-CN"/>
        </w:rPr>
        <w:t>五、促进民营企业规范健康发展</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rPr>
          <w:rFonts w:hint="eastAsia" w:ascii="仿宋" w:hAnsi="仿宋" w:eastAsia="仿宋" w:cs="仿宋"/>
          <w:color w:val="000000" w:themeColor="text1"/>
          <w:sz w:val="32"/>
          <w:szCs w:val="32"/>
          <w:shd w:val="clear" w:fill="FFFFFF"/>
          <w:lang w:eastAsia="zh-CN"/>
          <w14:textFill>
            <w14:solidFill>
              <w14:schemeClr w14:val="tx1"/>
            </w14:solidFill>
          </w14:textFill>
        </w:rPr>
      </w:pPr>
      <w:r>
        <w:rPr>
          <w:rFonts w:hint="eastAsia" w:eastAsia="方正仿宋_GBK" w:asciiTheme="minorHAnsi" w:hAnsiTheme="minorHAnsi" w:cstheme="minorBidi"/>
          <w:b/>
          <w:bCs/>
          <w:color w:val="000000"/>
          <w:kern w:val="2"/>
          <w:sz w:val="32"/>
          <w:szCs w:val="32"/>
          <w:lang w:val="en-US" w:eastAsia="zh-CN" w:bidi="ar-SA"/>
        </w:rPr>
        <w:t>（二十一）引导民营企业积极履行社会责任。</w:t>
      </w:r>
      <w:r>
        <w:rPr>
          <w:rFonts w:hint="eastAsia" w:ascii="仿宋" w:hAnsi="仿宋" w:eastAsia="仿宋" w:cs="仿宋"/>
          <w:color w:val="000000" w:themeColor="text1"/>
          <w:sz w:val="32"/>
          <w:szCs w:val="32"/>
          <w:shd w:val="clear" w:fill="FFFFFF"/>
          <w:lang w:eastAsia="zh-CN"/>
          <w14:textFill>
            <w14:solidFill>
              <w14:schemeClr w14:val="tx1"/>
            </w14:solidFill>
          </w14:textFill>
        </w:rPr>
        <w:t>开展诚信建设活动，实施企业诚信承诺制度。定期向社会公布一批信用管理示范企业和“守合同重信用”企业。鼓励民营企业与贫困地区、贫困群众建立产销对接机制和利益联结机制。</w:t>
      </w:r>
      <w:r>
        <w:rPr>
          <w:rFonts w:hint="eastAsia" w:ascii="仿宋" w:hAnsi="仿宋" w:eastAsia="仿宋" w:cs="仿宋"/>
          <w:color w:val="000000" w:themeColor="text1"/>
          <w:sz w:val="32"/>
          <w:szCs w:val="32"/>
          <w:shd w:val="clear" w:fill="FFFFFF"/>
          <w14:textFill>
            <w14:solidFill>
              <w14:schemeClr w14:val="tx1"/>
            </w14:solidFill>
          </w14:textFill>
        </w:rPr>
        <w:t>引导民营企业重信誉、守信用、讲信义，推动民营企业积极履行社会责任。</w:t>
      </w:r>
      <w:r>
        <w:rPr>
          <w:rFonts w:hint="eastAsia" w:ascii="仿宋" w:hAnsi="仿宋" w:eastAsia="仿宋" w:cs="仿宋"/>
          <w:color w:val="000000" w:themeColor="text1"/>
          <w:sz w:val="32"/>
          <w:szCs w:val="32"/>
          <w:shd w:val="clear" w:fill="FFFFFF"/>
          <w:lang w:eastAsia="zh-CN"/>
          <w14:textFill>
            <w14:solidFill>
              <w14:schemeClr w14:val="tx1"/>
            </w14:solidFill>
          </w14:textFill>
        </w:rPr>
        <w:t>（市委统战部、市发改委、市工商联、市民政局、市市场监管局、市扶贫办，各县区政府、园区管委会等按职责分工负责）</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rPr>
          <w:rFonts w:hint="eastAsia" w:ascii="仿宋" w:hAnsi="仿宋" w:eastAsia="仿宋" w:cs="仿宋"/>
          <w:color w:val="000000" w:themeColor="text1"/>
          <w:sz w:val="32"/>
          <w:szCs w:val="32"/>
          <w:shd w:val="clear" w:fill="FFFFFF"/>
          <w14:textFill>
            <w14:solidFill>
              <w14:schemeClr w14:val="tx1"/>
            </w14:solidFill>
          </w14:textFill>
        </w:rPr>
      </w:pPr>
      <w:r>
        <w:rPr>
          <w:rFonts w:hint="eastAsia" w:eastAsia="方正仿宋_GBK" w:asciiTheme="minorHAnsi" w:hAnsiTheme="minorHAnsi" w:cstheme="minorBidi"/>
          <w:b/>
          <w:bCs/>
          <w:color w:val="000000"/>
          <w:kern w:val="2"/>
          <w:sz w:val="32"/>
          <w:szCs w:val="32"/>
          <w:lang w:val="en-US" w:eastAsia="zh-CN" w:bidi="ar-SA"/>
        </w:rPr>
        <w:t>（二十二）引导民营企业聚精会神办实业。</w:t>
      </w:r>
      <w:r>
        <w:rPr>
          <w:rFonts w:hint="eastAsia" w:ascii="仿宋" w:hAnsi="仿宋" w:eastAsia="仿宋" w:cs="仿宋"/>
          <w:color w:val="000000" w:themeColor="text1"/>
          <w:sz w:val="32"/>
          <w:szCs w:val="32"/>
          <w:shd w:val="clear" w:fill="FFFFFF"/>
          <w14:textFill>
            <w14:solidFill>
              <w14:schemeClr w14:val="tx1"/>
            </w14:solidFill>
          </w14:textFill>
        </w:rPr>
        <w:t>大力宣传党和国家坚持基本经济制度、“两个毫不动摇”的方针政策，鼓励支持民营企业心无旁鹜做实业。大力弘扬工匠精神，鼓励民营企业高技能人才参评中华技能大奖、全国技术能手、“江淮杰出工匠”等。弘扬优秀企业家精神，</w:t>
      </w:r>
      <w:r>
        <w:rPr>
          <w:rFonts w:hint="eastAsia" w:ascii="仿宋" w:hAnsi="仿宋" w:eastAsia="仿宋" w:cs="仿宋"/>
          <w:color w:val="auto"/>
          <w:sz w:val="32"/>
          <w:szCs w:val="32"/>
          <w:u w:val="none"/>
          <w:shd w:val="clear" w:fill="FFFFFF"/>
        </w:rPr>
        <w:t>积极</w:t>
      </w:r>
      <w:r>
        <w:rPr>
          <w:rFonts w:hint="eastAsia" w:ascii="仿宋" w:hAnsi="仿宋" w:eastAsia="仿宋" w:cs="仿宋"/>
          <w:color w:val="auto"/>
          <w:sz w:val="32"/>
          <w:szCs w:val="32"/>
          <w:u w:val="none"/>
          <w:shd w:val="clear" w:fill="FFFFFF"/>
          <w:lang w:eastAsia="zh-CN"/>
        </w:rPr>
        <w:t>推荐省级</w:t>
      </w:r>
      <w:r>
        <w:rPr>
          <w:rFonts w:hint="eastAsia" w:ascii="仿宋" w:hAnsi="仿宋" w:eastAsia="仿宋" w:cs="仿宋"/>
          <w:color w:val="auto"/>
          <w:sz w:val="32"/>
          <w:szCs w:val="32"/>
          <w:u w:val="none"/>
          <w:shd w:val="clear" w:fill="FFFFFF"/>
        </w:rPr>
        <w:t>优秀民营企业和优秀民营企业家、优秀中国特色社会主义事业建设者等</w:t>
      </w:r>
      <w:r>
        <w:rPr>
          <w:rFonts w:hint="eastAsia" w:ascii="仿宋" w:hAnsi="仿宋" w:eastAsia="仿宋" w:cs="仿宋"/>
          <w:color w:val="auto"/>
          <w:sz w:val="32"/>
          <w:szCs w:val="32"/>
          <w:u w:val="none"/>
          <w:shd w:val="clear" w:fill="FFFFFF"/>
          <w:lang w:eastAsia="zh-CN"/>
        </w:rPr>
        <w:t>表彰项目候选集体（个人）</w:t>
      </w:r>
      <w:r>
        <w:rPr>
          <w:rFonts w:hint="eastAsia" w:ascii="仿宋" w:hAnsi="仿宋" w:eastAsia="仿宋" w:cs="仿宋"/>
          <w:color w:val="auto"/>
          <w:sz w:val="32"/>
          <w:szCs w:val="32"/>
          <w:u w:val="none"/>
          <w:shd w:val="clear" w:fill="FFFFFF"/>
        </w:rPr>
        <w:t>，</w:t>
      </w:r>
      <w:r>
        <w:rPr>
          <w:rFonts w:hint="eastAsia" w:ascii="仿宋" w:hAnsi="仿宋" w:eastAsia="仿宋" w:cs="仿宋"/>
          <w:color w:val="000000" w:themeColor="text1"/>
          <w:sz w:val="32"/>
          <w:szCs w:val="32"/>
          <w:shd w:val="clear" w:fill="FFFFFF"/>
          <w:lang w:eastAsia="zh-CN"/>
          <w14:textFill>
            <w14:solidFill>
              <w14:schemeClr w14:val="tx1"/>
            </w14:solidFill>
          </w14:textFill>
        </w:rPr>
        <w:t>加大宣传力度，力争我市入选民营企业百强工作再上新台阶，</w:t>
      </w:r>
      <w:r>
        <w:rPr>
          <w:rFonts w:hint="eastAsia" w:ascii="仿宋" w:hAnsi="仿宋" w:eastAsia="仿宋" w:cs="仿宋"/>
          <w:color w:val="000000" w:themeColor="text1"/>
          <w:sz w:val="32"/>
          <w:szCs w:val="32"/>
          <w:shd w:val="clear" w:fill="FFFFFF"/>
          <w14:textFill>
            <w14:solidFill>
              <w14:schemeClr w14:val="tx1"/>
            </w14:solidFill>
          </w14:textFill>
        </w:rPr>
        <w:t>认真总结梳理宣传一批典型案例，发挥示范带动作用。</w:t>
      </w:r>
      <w:r>
        <w:rPr>
          <w:rFonts w:hint="eastAsia" w:ascii="仿宋" w:hAnsi="仿宋" w:eastAsia="仿宋" w:cs="仿宋"/>
          <w:color w:val="auto"/>
          <w:sz w:val="32"/>
          <w:szCs w:val="32"/>
          <w:u w:val="none"/>
          <w:lang w:eastAsia="zh-CN"/>
        </w:rPr>
        <w:t>按规定适时开展我市</w:t>
      </w:r>
      <w:r>
        <w:rPr>
          <w:rFonts w:hint="eastAsia" w:ascii="仿宋" w:hAnsi="仿宋" w:eastAsia="仿宋" w:cs="仿宋"/>
          <w:color w:val="auto"/>
          <w:sz w:val="32"/>
          <w:szCs w:val="32"/>
          <w:u w:val="none"/>
        </w:rPr>
        <w:t>优秀民营企业和优秀民营企业家评选表彰，</w:t>
      </w:r>
      <w:r>
        <w:rPr>
          <w:rFonts w:hint="eastAsia" w:ascii="仿宋" w:hAnsi="仿宋" w:eastAsia="仿宋" w:cs="仿宋"/>
          <w:color w:val="000000" w:themeColor="text1"/>
          <w:sz w:val="32"/>
          <w:szCs w:val="32"/>
          <w14:textFill>
            <w14:solidFill>
              <w14:schemeClr w14:val="tx1"/>
            </w14:solidFill>
          </w14:textFill>
        </w:rPr>
        <w:t>大力宣传先进典型，</w:t>
      </w:r>
      <w:r>
        <w:rPr>
          <w:rFonts w:hint="eastAsia" w:ascii="仿宋" w:hAnsi="仿宋" w:eastAsia="仿宋" w:cs="仿宋"/>
          <w:color w:val="000000" w:themeColor="text1"/>
          <w:sz w:val="32"/>
          <w:szCs w:val="32"/>
          <w:lang w:eastAsia="zh-CN"/>
          <w14:textFill>
            <w14:solidFill>
              <w14:schemeClr w14:val="tx1"/>
            </w14:solidFill>
          </w14:textFill>
        </w:rPr>
        <w:t>弘扬</w:t>
      </w:r>
      <w:r>
        <w:rPr>
          <w:rFonts w:hint="eastAsia" w:ascii="仿宋" w:hAnsi="仿宋" w:eastAsia="仿宋" w:cs="仿宋"/>
          <w:color w:val="000000" w:themeColor="text1"/>
          <w:sz w:val="32"/>
          <w:szCs w:val="32"/>
          <w14:textFill>
            <w14:solidFill>
              <w14:schemeClr w14:val="tx1"/>
            </w14:solidFill>
          </w14:textFill>
        </w:rPr>
        <w:t>企业家创新精神。</w:t>
      </w:r>
      <w:r>
        <w:rPr>
          <w:rFonts w:hint="eastAsia" w:ascii="仿宋" w:hAnsi="仿宋" w:eastAsia="仿宋" w:cs="仿宋"/>
          <w:color w:val="000000" w:themeColor="text1"/>
          <w:sz w:val="32"/>
          <w:szCs w:val="32"/>
          <w:shd w:val="clear" w:fill="FFFFFF"/>
          <w14:textFill>
            <w14:solidFill>
              <w14:schemeClr w14:val="tx1"/>
            </w14:solidFill>
          </w14:textFill>
        </w:rPr>
        <w:t>（市委宣传部、市委统战部、</w:t>
      </w:r>
      <w:r>
        <w:rPr>
          <w:rFonts w:hint="eastAsia" w:ascii="仿宋" w:hAnsi="仿宋" w:eastAsia="仿宋" w:cs="仿宋"/>
          <w:color w:val="000000" w:themeColor="text1"/>
          <w:sz w:val="32"/>
          <w:szCs w:val="32"/>
          <w:shd w:val="clear" w:fill="FFFFFF"/>
          <w:lang w:eastAsia="zh-CN"/>
          <w14:textFill>
            <w14:solidFill>
              <w14:schemeClr w14:val="tx1"/>
            </w14:solidFill>
          </w14:textFill>
        </w:rPr>
        <w:t>市工商联、</w:t>
      </w:r>
      <w:r>
        <w:rPr>
          <w:rFonts w:hint="eastAsia" w:ascii="仿宋" w:hAnsi="仿宋" w:eastAsia="仿宋" w:cs="仿宋"/>
          <w:color w:val="000000" w:themeColor="text1"/>
          <w:sz w:val="32"/>
          <w:szCs w:val="32"/>
          <w:shd w:val="clear" w:fill="FFFFFF"/>
          <w14:textFill>
            <w14:solidFill>
              <w14:schemeClr w14:val="tx1"/>
            </w14:solidFill>
          </w14:textFill>
        </w:rPr>
        <w:t>市发改委、市经信局、市人社局等按职责分工负责）</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rPr>
          <w:rFonts w:hint="eastAsia" w:ascii="仿宋" w:hAnsi="仿宋" w:eastAsia="仿宋" w:cs="仿宋"/>
          <w:color w:val="000000" w:themeColor="text1"/>
          <w:sz w:val="32"/>
          <w:szCs w:val="32"/>
          <w:shd w:val="clear" w:fill="FFFFFF"/>
          <w14:textFill>
            <w14:solidFill>
              <w14:schemeClr w14:val="tx1"/>
            </w14:solidFill>
          </w14:textFill>
        </w:rPr>
      </w:pPr>
      <w:r>
        <w:rPr>
          <w:rFonts w:hint="eastAsia" w:eastAsia="方正仿宋_GBK" w:asciiTheme="minorHAnsi" w:hAnsiTheme="minorHAnsi" w:cstheme="minorBidi"/>
          <w:b/>
          <w:bCs/>
          <w:color w:val="000000"/>
          <w:kern w:val="2"/>
          <w:sz w:val="32"/>
          <w:szCs w:val="32"/>
          <w:lang w:val="en-US" w:eastAsia="zh-CN" w:bidi="ar-SA"/>
        </w:rPr>
        <w:t>（二十三）引导民营企业家健康成长。</w:t>
      </w:r>
      <w:r>
        <w:rPr>
          <w:rFonts w:hint="eastAsia" w:ascii="仿宋" w:hAnsi="仿宋" w:eastAsia="仿宋" w:cs="仿宋"/>
          <w:color w:val="000000" w:themeColor="text1"/>
          <w:sz w:val="32"/>
          <w:szCs w:val="32"/>
          <w:shd w:val="clear" w:fill="FFFFFF"/>
          <w14:textFill>
            <w14:solidFill>
              <w14:schemeClr w14:val="tx1"/>
            </w14:solidFill>
          </w14:textFill>
        </w:rPr>
        <w:t>强化对民营企业法制宣传和服务，引导广大非公有制经济人士加强自我学习、自我教育和自我提升，积极承担社会责任，主动遵守生态环保、安全生产、员工权益等方面的法律法规和制度规定。鼓励民营企业积极参与社会公益、慈善事业，争做爱国敬业、守法经营、创业创新、回报社会的典范</w:t>
      </w:r>
      <w:r>
        <w:rPr>
          <w:rFonts w:hint="eastAsia" w:ascii="仿宋" w:hAnsi="仿宋" w:eastAsia="仿宋" w:cs="仿宋"/>
          <w:color w:val="000000" w:themeColor="text1"/>
          <w:sz w:val="32"/>
          <w:szCs w:val="32"/>
          <w:shd w:val="clear" w:fill="FFFFFF"/>
          <w:lang w:eastAsia="zh-CN"/>
          <w14:textFill>
            <w14:solidFill>
              <w14:schemeClr w14:val="tx1"/>
            </w14:solidFill>
          </w14:textFill>
        </w:rPr>
        <w:t>。</w:t>
      </w:r>
      <w:r>
        <w:rPr>
          <w:rFonts w:hint="eastAsia" w:ascii="仿宋" w:hAnsi="仿宋" w:eastAsia="仿宋" w:cs="仿宋"/>
          <w:color w:val="000000" w:themeColor="text1"/>
          <w:sz w:val="32"/>
          <w:szCs w:val="32"/>
          <w:shd w:val="clear" w:fill="FFFFFF"/>
          <w14:textFill>
            <w14:solidFill>
              <w14:schemeClr w14:val="tx1"/>
            </w14:solidFill>
          </w14:textFill>
        </w:rPr>
        <w:t>（</w:t>
      </w:r>
      <w:r>
        <w:rPr>
          <w:rFonts w:hint="eastAsia" w:ascii="仿宋" w:hAnsi="仿宋" w:eastAsia="仿宋" w:cs="仿宋"/>
          <w:color w:val="000000" w:themeColor="text1"/>
          <w:sz w:val="32"/>
          <w:szCs w:val="32"/>
          <w:shd w:val="clear" w:fill="FFFFFF"/>
          <w:lang w:eastAsia="zh-CN"/>
          <w14:textFill>
            <w14:solidFill>
              <w14:schemeClr w14:val="tx1"/>
            </w14:solidFill>
          </w14:textFill>
        </w:rPr>
        <w:t>市委统战部、市工商联等按职责分工负责</w:t>
      </w:r>
      <w:r>
        <w:rPr>
          <w:rFonts w:hint="eastAsia" w:ascii="仿宋" w:hAnsi="仿宋" w:eastAsia="仿宋" w:cs="仿宋"/>
          <w:color w:val="000000" w:themeColor="text1"/>
          <w:sz w:val="32"/>
          <w:szCs w:val="32"/>
          <w:shd w:val="clear" w:fill="FFFFFF"/>
          <w14:textFill>
            <w14:solidFill>
              <w14:schemeClr w14:val="tx1"/>
            </w14:solidFill>
          </w14:textFill>
        </w:rPr>
        <w:t>）</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240" w:lineRule="auto"/>
        <w:ind w:leftChars="0" w:firstLine="640" w:firstLineChars="200"/>
        <w:rPr>
          <w:rFonts w:hint="eastAsia" w:eastAsia="方正仿宋_GBK"/>
          <w:b/>
          <w:bCs/>
          <w:color w:val="000000"/>
          <w:sz w:val="32"/>
          <w:szCs w:val="32"/>
          <w:lang w:val="en-US" w:eastAsia="zh-CN"/>
        </w:rPr>
      </w:pPr>
      <w:r>
        <w:rPr>
          <w:rFonts w:hint="eastAsia" w:eastAsia="方正仿宋_GBK"/>
          <w:b/>
          <w:bCs/>
          <w:color w:val="000000"/>
          <w:sz w:val="32"/>
          <w:szCs w:val="32"/>
          <w:lang w:val="en-US" w:eastAsia="zh-CN"/>
        </w:rPr>
        <w:t>六、构建亲清政商关系</w:t>
      </w:r>
    </w:p>
    <w:p>
      <w:pPr>
        <w:keepNext w:val="0"/>
        <w:keepLines w:val="0"/>
        <w:pageBreakBefore w:val="0"/>
        <w:kinsoku/>
        <w:wordWrap/>
        <w:overflowPunct/>
        <w:topLinePunct w:val="0"/>
        <w:autoSpaceDE/>
        <w:autoSpaceDN/>
        <w:bidi w:val="0"/>
        <w:adjustRightInd/>
        <w:snapToGrid/>
        <w:spacing w:line="240" w:lineRule="auto"/>
        <w:ind w:leftChars="0" w:firstLine="640" w:firstLineChars="200"/>
        <w:rPr>
          <w:rFonts w:hAnsi="仿宋_GB2312" w:eastAsia="仿宋_GB2312"/>
          <w:color w:val="000000" w:themeColor="text1"/>
          <w:sz w:val="32"/>
          <w:szCs w:val="32"/>
          <w14:textFill>
            <w14:solidFill>
              <w14:schemeClr w14:val="tx1"/>
            </w14:solidFill>
          </w14:textFill>
        </w:rPr>
      </w:pPr>
      <w:r>
        <w:rPr>
          <w:rFonts w:hint="eastAsia" w:eastAsia="方正仿宋_GBK" w:asciiTheme="minorHAnsi" w:hAnsiTheme="minorHAnsi" w:cstheme="minorBidi"/>
          <w:b/>
          <w:bCs/>
          <w:color w:val="000000"/>
          <w:kern w:val="2"/>
          <w:sz w:val="32"/>
          <w:szCs w:val="32"/>
          <w:lang w:val="en-US" w:eastAsia="zh-CN" w:bidi="ar-SA"/>
        </w:rPr>
        <w:t>（二十四）</w:t>
      </w:r>
      <w:r>
        <w:rPr>
          <w:rFonts w:hint="eastAsia" w:eastAsia="方正仿宋_GBK"/>
          <w:b/>
          <w:bCs/>
          <w:color w:val="000000"/>
          <w:sz w:val="32"/>
          <w:szCs w:val="32"/>
          <w:lang w:eastAsia="zh-CN"/>
        </w:rPr>
        <w:t>健全民营经济工作推进机制。</w:t>
      </w:r>
      <w:r>
        <w:rPr>
          <w:rFonts w:eastAsia="方正仿宋_GBK"/>
          <w:color w:val="000000"/>
          <w:sz w:val="32"/>
          <w:szCs w:val="32"/>
        </w:rPr>
        <w:t>市发展民营经济领导小组办公室加强统筹协调和工作指导</w:t>
      </w:r>
      <w:r>
        <w:rPr>
          <w:rFonts w:hAnsi="仿宋_GB2312" w:eastAsia="仿宋_GB2312"/>
          <w:color w:val="000000" w:themeColor="text1"/>
          <w:sz w:val="32"/>
          <w:szCs w:val="32"/>
          <w14:textFill>
            <w14:solidFill>
              <w14:schemeClr w14:val="tx1"/>
            </w14:solidFill>
          </w14:textFill>
        </w:rPr>
        <w:t>，完善协调调度、信息沟通、督促检查、统计考核、评价激励等工作机制，确保领导小组决议事项和相关工作的有效落实。</w:t>
      </w:r>
      <w:r>
        <w:rPr>
          <w:rFonts w:hint="eastAsia" w:hAnsi="仿宋_GB2312" w:eastAsia="仿宋_GB2312"/>
          <w:color w:val="000000" w:themeColor="text1"/>
          <w:sz w:val="32"/>
          <w:szCs w:val="32"/>
          <w14:textFill>
            <w14:solidFill>
              <w14:schemeClr w14:val="tx1"/>
            </w14:solidFill>
          </w14:textFill>
        </w:rPr>
        <w:t>完善民营企业家参与涉企政策制定和执行机制，研究重要经济工作视情况邀请民营企业家代表参与或列席。（市发展民营经济领导小组</w:t>
      </w:r>
      <w:r>
        <w:rPr>
          <w:rFonts w:hint="eastAsia" w:hAnsi="仿宋_GB2312" w:eastAsia="仿宋_GB2312"/>
          <w:color w:val="000000" w:themeColor="text1"/>
          <w:sz w:val="32"/>
          <w:szCs w:val="32"/>
          <w:lang w:eastAsia="zh-CN"/>
          <w14:textFill>
            <w14:solidFill>
              <w14:schemeClr w14:val="tx1"/>
            </w14:solidFill>
          </w14:textFill>
        </w:rPr>
        <w:t>成员单位，各县区政府、园区管委会</w:t>
      </w:r>
      <w:r>
        <w:rPr>
          <w:rFonts w:hint="eastAsia" w:hAnsi="仿宋_GB2312" w:eastAsia="仿宋_GB2312"/>
          <w:color w:val="000000" w:themeColor="text1"/>
          <w:sz w:val="32"/>
          <w:szCs w:val="32"/>
          <w14:textFill>
            <w14:solidFill>
              <w14:schemeClr w14:val="tx1"/>
            </w14:solidFill>
          </w14:textFill>
        </w:rPr>
        <w:t>按职责分工负责）</w:t>
      </w: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6"/>
        <w:jc w:val="both"/>
        <w:textAlignment w:val="auto"/>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pPr>
      <w:r>
        <w:rPr>
          <w:rFonts w:hint="eastAsia" w:eastAsia="方正仿宋_GBK"/>
          <w:b/>
          <w:bCs/>
          <w:color w:val="000000"/>
          <w:sz w:val="32"/>
          <w:szCs w:val="32"/>
          <w:lang w:eastAsia="zh-CN"/>
        </w:rPr>
        <w:t>（二十五）</w:t>
      </w:r>
      <w:r>
        <w:rPr>
          <w:rFonts w:hint="eastAsia" w:eastAsia="方正仿宋_GBK" w:asciiTheme="minorHAnsi" w:hAnsiTheme="minorHAnsi" w:cstheme="minorBidi"/>
          <w:b/>
          <w:bCs/>
          <w:color w:val="000000"/>
          <w:kern w:val="2"/>
          <w:sz w:val="32"/>
          <w:szCs w:val="32"/>
          <w:lang w:val="en-US" w:eastAsia="zh-CN" w:bidi="ar-SA"/>
        </w:rPr>
        <w:t>畅通政企沟通，健全完善服务联系机制。</w:t>
      </w:r>
      <w:r>
        <w:rPr>
          <w:rFonts w:hint="eastAsia" w:ascii="仿宋" w:hAnsi="仿宋" w:eastAsia="仿宋" w:cs="仿宋"/>
          <w:color w:val="000000" w:themeColor="text1"/>
          <w:sz w:val="32"/>
          <w:szCs w:val="32"/>
          <w:shd w:val="clear" w:fill="FFFFFF"/>
          <w14:textFill>
            <w14:solidFill>
              <w14:schemeClr w14:val="tx1"/>
            </w14:solidFill>
          </w14:textFill>
        </w:rPr>
        <w:t>继续</w:t>
      </w:r>
      <w:r>
        <w:rPr>
          <w:rFonts w:hint="eastAsia" w:ascii="仿宋" w:hAnsi="仿宋" w:eastAsia="仿宋" w:cs="仿宋"/>
          <w:color w:val="000000" w:themeColor="text1"/>
          <w:sz w:val="32"/>
          <w:szCs w:val="32"/>
          <w:shd w:val="clear" w:fill="FFFFFF"/>
          <w:lang w:eastAsia="zh-CN"/>
          <w14:textFill>
            <w14:solidFill>
              <w14:schemeClr w14:val="tx1"/>
            </w14:solidFill>
          </w14:textFill>
        </w:rPr>
        <w:t>完善</w:t>
      </w:r>
      <w:r>
        <w:rPr>
          <w:rFonts w:hint="eastAsia" w:ascii="仿宋" w:hAnsi="仿宋" w:eastAsia="仿宋" w:cs="仿宋"/>
          <w:color w:val="000000" w:themeColor="text1"/>
          <w:sz w:val="32"/>
          <w:szCs w:val="32"/>
          <w:shd w:val="clear" w:fill="FFFFFF"/>
          <w14:textFill>
            <w14:solidFill>
              <w14:schemeClr w14:val="tx1"/>
            </w14:solidFill>
          </w14:textFill>
        </w:rPr>
        <w:t>落实</w:t>
      </w:r>
      <w:r>
        <w:rPr>
          <w:rFonts w:hint="eastAsia" w:ascii="仿宋" w:hAnsi="仿宋" w:eastAsia="仿宋" w:cs="仿宋"/>
          <w:color w:val="000000" w:themeColor="text1"/>
          <w:sz w:val="32"/>
          <w:szCs w:val="32"/>
          <w:shd w:val="clear" w:fill="FFFFFF"/>
          <w:lang w:eastAsia="zh-CN"/>
          <w14:textFill>
            <w14:solidFill>
              <w14:schemeClr w14:val="tx1"/>
            </w14:solidFill>
          </w14:textFill>
        </w:rPr>
        <w:t>市</w:t>
      </w:r>
      <w:r>
        <w:rPr>
          <w:rFonts w:hint="eastAsia" w:ascii="仿宋" w:hAnsi="仿宋" w:eastAsia="仿宋" w:cs="仿宋"/>
          <w:color w:val="000000" w:themeColor="text1"/>
          <w:sz w:val="32"/>
          <w:szCs w:val="32"/>
          <w:shd w:val="clear" w:fill="FFFFFF"/>
          <w14:textFill>
            <w14:solidFill>
              <w14:schemeClr w14:val="tx1"/>
            </w14:solidFill>
          </w14:textFill>
        </w:rPr>
        <w:t>领导联系服务民营企业</w:t>
      </w:r>
      <w:r>
        <w:rPr>
          <w:rFonts w:hint="eastAsia" w:ascii="仿宋" w:hAnsi="仿宋" w:eastAsia="仿宋" w:cs="仿宋"/>
          <w:color w:val="000000" w:themeColor="text1"/>
          <w:sz w:val="32"/>
          <w:szCs w:val="32"/>
          <w:shd w:val="clear" w:fill="FFFFFF"/>
          <w:lang w:eastAsia="zh-CN"/>
          <w14:textFill>
            <w14:solidFill>
              <w14:schemeClr w14:val="tx1"/>
            </w14:solidFill>
          </w14:textFill>
        </w:rPr>
        <w:t>机制</w:t>
      </w:r>
      <w:r>
        <w:rPr>
          <w:rFonts w:hint="eastAsia" w:ascii="仿宋" w:hAnsi="仿宋" w:eastAsia="仿宋" w:cs="仿宋"/>
          <w:color w:val="000000" w:themeColor="text1"/>
          <w:sz w:val="32"/>
          <w:szCs w:val="32"/>
          <w:shd w:val="clear" w:fill="FFFFFF"/>
          <w14:textFill>
            <w14:solidFill>
              <w14:schemeClr w14:val="tx1"/>
            </w14:solidFill>
          </w14:textFill>
        </w:rPr>
        <w:t>，定期走访调研，畅通企业家意见诉求渠道。工商联等各人民团体和协会商会要发挥在企业与政府沟通中的桥梁和纽带作用，加强与企业的联系。持续宣传推介安徽省“四送一服”双千工程综合服务平台，鼓励企业通过平台查询政策、对接要素、留言提交问题及意见建议。</w:t>
      </w:r>
      <w:r>
        <w:rPr>
          <w:rFonts w:hint="eastAsia" w:ascii="仿宋" w:hAnsi="仿宋" w:eastAsia="仿宋" w:cs="仿宋"/>
          <w:b w:val="0"/>
          <w:bCs w:val="0"/>
          <w:i w:val="0"/>
          <w:caps w:val="0"/>
          <w:color w:val="000000" w:themeColor="text1"/>
          <w:spacing w:val="15"/>
          <w:sz w:val="32"/>
          <w:szCs w:val="32"/>
          <w:shd w:val="clear" w:fill="FFFFFF"/>
          <w:lang w:eastAsia="zh-CN"/>
          <w14:textFill>
            <w14:solidFill>
              <w14:schemeClr w14:val="tx1"/>
            </w14:solidFill>
          </w14:textFill>
        </w:rPr>
        <w:t>（市委统战部、</w:t>
      </w:r>
      <w:r>
        <w:rPr>
          <w:rFonts w:hint="eastAsia" w:ascii="仿宋" w:hAnsi="仿宋" w:eastAsia="仿宋" w:cs="仿宋"/>
          <w:b w:val="0"/>
          <w:bCs w:val="0"/>
          <w:color w:val="000000" w:themeColor="text1"/>
          <w:sz w:val="32"/>
          <w:szCs w:val="32"/>
          <w14:textFill>
            <w14:solidFill>
              <w14:schemeClr w14:val="tx1"/>
            </w14:solidFill>
          </w14:textFill>
        </w:rPr>
        <w:t>市发改委</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市经信局、市民政局、</w:t>
      </w:r>
      <w:r>
        <w:rPr>
          <w:rFonts w:hint="eastAsia" w:ascii="仿宋" w:hAnsi="仿宋" w:eastAsia="仿宋" w:cs="仿宋"/>
          <w:b w:val="0"/>
          <w:bCs w:val="0"/>
          <w:i w:val="0"/>
          <w:caps w:val="0"/>
          <w:color w:val="000000" w:themeColor="text1"/>
          <w:spacing w:val="15"/>
          <w:sz w:val="32"/>
          <w:szCs w:val="32"/>
          <w:shd w:val="clear" w:fill="FFFFFF"/>
          <w:lang w:eastAsia="zh-CN"/>
          <w14:textFill>
            <w14:solidFill>
              <w14:schemeClr w14:val="tx1"/>
            </w14:solidFill>
          </w14:textFill>
        </w:rPr>
        <w:t>市工商联、</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市四送一服办</w:t>
      </w:r>
      <w:r>
        <w:rPr>
          <w:rFonts w:hint="eastAsia" w:ascii="仿宋" w:hAnsi="仿宋" w:eastAsia="仿宋" w:cs="仿宋"/>
          <w:b w:val="0"/>
          <w:bCs w:val="0"/>
          <w:i w:val="0"/>
          <w:caps w:val="0"/>
          <w:color w:val="000000" w:themeColor="text1"/>
          <w:spacing w:val="15"/>
          <w:sz w:val="32"/>
          <w:szCs w:val="32"/>
          <w:shd w:val="clear" w:fill="FFFFFF"/>
          <w:lang w:eastAsia="zh-CN"/>
          <w14:textFill>
            <w14:solidFill>
              <w14:schemeClr w14:val="tx1"/>
            </w14:solidFill>
          </w14:textFill>
        </w:rPr>
        <w:t>，各县区政府、园区管委会等按职责分工负责）</w:t>
      </w:r>
    </w:p>
    <w:p>
      <w:pPr>
        <w:keepNext w:val="0"/>
        <w:keepLines w:val="0"/>
        <w:pageBreakBefore w:val="0"/>
        <w:kinsoku/>
        <w:wordWrap/>
        <w:overflowPunct/>
        <w:topLinePunct w:val="0"/>
        <w:autoSpaceDE/>
        <w:autoSpaceDN/>
        <w:bidi w:val="0"/>
        <w:adjustRightInd/>
        <w:snapToGrid/>
        <w:spacing w:line="240" w:lineRule="auto"/>
        <w:ind w:leftChars="0" w:firstLine="640" w:firstLineChars="200"/>
        <w:rPr>
          <w:rFonts w:hint="eastAsia" w:eastAsia="方正仿宋_GBK"/>
          <w:b/>
          <w:bCs/>
          <w:color w:val="000000"/>
          <w:sz w:val="32"/>
          <w:szCs w:val="32"/>
          <w:lang w:val="en-US" w:eastAsia="zh-CN"/>
        </w:rPr>
      </w:pPr>
      <w:r>
        <w:rPr>
          <w:rFonts w:hint="eastAsia" w:eastAsia="方正仿宋_GBK"/>
          <w:b/>
          <w:bCs/>
          <w:color w:val="000000"/>
          <w:sz w:val="32"/>
          <w:szCs w:val="32"/>
          <w:lang w:val="en-US" w:eastAsia="zh-CN"/>
        </w:rPr>
        <w:t>七、加强组织保障</w:t>
      </w:r>
    </w:p>
    <w:p>
      <w:pPr>
        <w:keepNext w:val="0"/>
        <w:keepLines w:val="0"/>
        <w:pageBreakBefore w:val="0"/>
        <w:kinsoku/>
        <w:wordWrap/>
        <w:overflowPunct/>
        <w:topLinePunct w:val="0"/>
        <w:autoSpaceDE/>
        <w:autoSpaceDN/>
        <w:bidi w:val="0"/>
        <w:adjustRightInd/>
        <w:snapToGrid/>
        <w:spacing w:line="240" w:lineRule="auto"/>
        <w:ind w:leftChars="0" w:firstLine="640"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eastAsia="方正仿宋_GBK"/>
          <w:b/>
          <w:bCs/>
          <w:color w:val="000000"/>
          <w:sz w:val="32"/>
          <w:szCs w:val="32"/>
          <w:lang w:val="en-US" w:eastAsia="zh-CN"/>
        </w:rPr>
        <w:t>（二十六）</w:t>
      </w:r>
      <w:r>
        <w:rPr>
          <w:rFonts w:hint="eastAsia" w:eastAsia="方正仿宋_GBK"/>
          <w:b/>
          <w:bCs/>
          <w:color w:val="000000"/>
          <w:sz w:val="32"/>
          <w:szCs w:val="32"/>
          <w:lang w:eastAsia="zh-CN"/>
        </w:rPr>
        <w:t>完善支持民营企业改革发展工作机制。</w:t>
      </w:r>
      <w:r>
        <w:rPr>
          <w:rFonts w:hint="eastAsia" w:ascii="仿宋" w:hAnsi="仿宋" w:eastAsia="仿宋" w:cs="仿宋"/>
          <w:color w:val="000000" w:themeColor="text1"/>
          <w:sz w:val="32"/>
          <w:szCs w:val="32"/>
          <w:shd w:val="clear" w:fill="FFFFFF"/>
          <w14:textFill>
            <w14:solidFill>
              <w14:schemeClr w14:val="tx1"/>
            </w14:solidFill>
          </w14:textFill>
        </w:rPr>
        <w:t>充分发挥</w:t>
      </w:r>
      <w:r>
        <w:rPr>
          <w:rFonts w:hint="eastAsia" w:ascii="仿宋" w:hAnsi="仿宋" w:eastAsia="仿宋" w:cs="仿宋"/>
          <w:color w:val="000000" w:themeColor="text1"/>
          <w:sz w:val="32"/>
          <w:szCs w:val="32"/>
          <w:shd w:val="clear" w:fill="FFFFFF"/>
          <w:lang w:eastAsia="zh-CN"/>
          <w14:textFill>
            <w14:solidFill>
              <w14:schemeClr w14:val="tx1"/>
            </w14:solidFill>
          </w14:textFill>
        </w:rPr>
        <w:t>市</w:t>
      </w:r>
      <w:r>
        <w:rPr>
          <w:rFonts w:hint="eastAsia" w:ascii="仿宋" w:hAnsi="仿宋" w:eastAsia="仿宋" w:cs="仿宋"/>
          <w:color w:val="000000" w:themeColor="text1"/>
          <w:sz w:val="32"/>
          <w:szCs w:val="32"/>
          <w:shd w:val="clear" w:fill="FFFFFF"/>
          <w14:textFill>
            <w14:solidFill>
              <w14:schemeClr w14:val="tx1"/>
            </w14:solidFill>
          </w14:textFill>
        </w:rPr>
        <w:t>发展民营经济工作领导小组作用，做好发展民营经济的组织领导和工作协调。</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推动民营企业创新转型发展，加强对民营企业服务保障，完善支持民营企业发展工作机制，充分发挥民营企业在供给侧结构性改革、脱贫攻坚、推动经济社会发展中的重要作用。</w:t>
      </w:r>
      <w:r>
        <w:rPr>
          <w:rFonts w:hint="eastAsia" w:ascii="仿宋" w:hAnsi="仿宋" w:eastAsia="仿宋" w:cs="仿宋"/>
          <w:b w:val="0"/>
          <w:bCs w:val="0"/>
          <w:color w:val="000000" w:themeColor="text1"/>
          <w:sz w:val="32"/>
          <w:szCs w:val="32"/>
          <w14:textFill>
            <w14:solidFill>
              <w14:schemeClr w14:val="tx1"/>
            </w14:solidFill>
          </w14:textFill>
        </w:rPr>
        <w:t>（市发展民营经济领导小组成员单位按职责分工负责）</w:t>
      </w:r>
    </w:p>
    <w:p>
      <w:pPr>
        <w:keepNext w:val="0"/>
        <w:keepLines w:val="0"/>
        <w:pageBreakBefore w:val="0"/>
        <w:kinsoku/>
        <w:wordWrap/>
        <w:overflowPunct/>
        <w:topLinePunct w:val="0"/>
        <w:autoSpaceDE/>
        <w:autoSpaceDN/>
        <w:bidi w:val="0"/>
        <w:adjustRightInd/>
        <w:snapToGrid/>
        <w:spacing w:line="240" w:lineRule="auto"/>
        <w:ind w:leftChars="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eastAsia="方正仿宋_GBK"/>
          <w:b/>
          <w:bCs/>
          <w:color w:val="000000"/>
          <w:sz w:val="32"/>
          <w:szCs w:val="32"/>
          <w:lang w:eastAsia="zh-CN"/>
        </w:rPr>
        <w:t>（二十七）</w:t>
      </w:r>
      <w:r>
        <w:rPr>
          <w:rFonts w:hint="eastAsia" w:eastAsia="方正仿宋_GBK"/>
          <w:b/>
          <w:bCs/>
          <w:color w:val="000000"/>
          <w:sz w:val="32"/>
          <w:szCs w:val="32"/>
          <w:lang w:val="en-US" w:eastAsia="zh-CN"/>
        </w:rPr>
        <w:t>加强民营企业党建工作。</w:t>
      </w:r>
      <w:r>
        <w:rPr>
          <w:rFonts w:hint="eastAsia" w:hAnsi="仿宋_GB2312" w:eastAsia="仿宋_GB2312" w:asciiTheme="minorHAnsi" w:cstheme="minorBidi"/>
          <w:color w:val="000000" w:themeColor="text1"/>
          <w:kern w:val="2"/>
          <w:sz w:val="32"/>
          <w:szCs w:val="32"/>
          <w:lang w:val="en-US" w:eastAsia="zh-CN" w:bidi="ar-SA"/>
          <w14:textFill>
            <w14:solidFill>
              <w14:schemeClr w14:val="tx1"/>
            </w14:solidFill>
          </w14:textFill>
        </w:rPr>
        <w:t>坚持党对支持民营企业改革发展工作的领导，增强“四个意识”，坚定“四个自信”，做到“两个维护”，教育引导民营企业和企业家拥护党的领导</w:t>
      </w:r>
      <w:r>
        <w:rPr>
          <w:rFonts w:hint="eastAsia" w:ascii="仿宋" w:hAnsi="仿宋" w:eastAsia="仿宋" w:cs="仿宋"/>
          <w:color w:val="000000" w:themeColor="text1"/>
          <w:sz w:val="32"/>
          <w:szCs w:val="32"/>
          <w14:textFill>
            <w14:solidFill>
              <w14:schemeClr w14:val="tx1"/>
            </w14:solidFill>
          </w14:textFill>
        </w:rPr>
        <w:t>，支持企业党建工作。坚持应建尽建，正式党员 3 人以上的应当单独成立党组</w:t>
      </w:r>
      <w:r>
        <w:rPr>
          <w:rFonts w:hint="eastAsia" w:ascii="仿宋" w:hAnsi="仿宋" w:eastAsia="仿宋" w:cs="仿宋"/>
          <w:color w:val="000000" w:themeColor="text1"/>
          <w:sz w:val="32"/>
          <w:szCs w:val="32"/>
          <w:u w:val="none"/>
          <w14:textFill>
            <w14:solidFill>
              <w14:schemeClr w14:val="tx1"/>
            </w14:solidFill>
          </w14:textFill>
        </w:rPr>
        <w:t>织</w:t>
      </w:r>
      <w:r>
        <w:rPr>
          <w:rFonts w:hint="eastAsia" w:ascii="仿宋" w:hAnsi="仿宋" w:eastAsia="仿宋" w:cs="仿宋"/>
          <w:color w:val="auto"/>
          <w:sz w:val="32"/>
          <w:szCs w:val="32"/>
          <w:u w:val="none"/>
        </w:rPr>
        <w:t>，</w:t>
      </w:r>
      <w:r>
        <w:rPr>
          <w:rFonts w:hint="eastAsia" w:ascii="仿宋" w:hAnsi="仿宋" w:eastAsia="仿宋" w:cs="仿宋"/>
          <w:color w:val="auto"/>
          <w:sz w:val="32"/>
          <w:szCs w:val="32"/>
          <w:u w:val="none"/>
          <w:lang w:eastAsia="zh-CN"/>
        </w:rPr>
        <w:t>正式党员</w:t>
      </w:r>
      <w:r>
        <w:rPr>
          <w:rFonts w:hint="eastAsia" w:ascii="仿宋" w:hAnsi="仿宋" w:eastAsia="仿宋" w:cs="仿宋"/>
          <w:color w:val="auto"/>
          <w:sz w:val="32"/>
          <w:szCs w:val="32"/>
          <w:u w:val="none"/>
          <w:lang w:val="en-US" w:eastAsia="zh-CN"/>
        </w:rPr>
        <w:t>1-2人的，</w:t>
      </w:r>
      <w:r>
        <w:rPr>
          <w:rFonts w:hint="eastAsia" w:ascii="仿宋" w:hAnsi="仿宋" w:eastAsia="仿宋" w:cs="仿宋"/>
          <w:color w:val="auto"/>
          <w:sz w:val="32"/>
          <w:szCs w:val="32"/>
          <w:u w:val="none"/>
        </w:rPr>
        <w:t>应</w:t>
      </w:r>
      <w:r>
        <w:rPr>
          <w:rFonts w:hint="eastAsia" w:ascii="仿宋" w:hAnsi="仿宋" w:eastAsia="仿宋" w:cs="仿宋"/>
          <w:color w:val="000000" w:themeColor="text1"/>
          <w:sz w:val="32"/>
          <w:szCs w:val="32"/>
          <w14:textFill>
            <w14:solidFill>
              <w14:schemeClr w14:val="tx1"/>
            </w14:solidFill>
          </w14:textFill>
        </w:rPr>
        <w:t>当成立联合党支部；对未建立党组织的民营企业，要加大选派党建工作指导员力度，推动建立工会和共青团组织，努力提升民营企业党的组织和工作覆盖质量。(市委组织部，市委非公工委，市委非公工委成员单位，</w:t>
      </w:r>
      <w:r>
        <w:rPr>
          <w:rFonts w:hint="eastAsia" w:ascii="仿宋" w:hAnsi="仿宋" w:eastAsia="仿宋" w:cs="仿宋"/>
          <w:color w:val="000000" w:themeColor="text1"/>
          <w:sz w:val="32"/>
          <w:szCs w:val="32"/>
          <w:lang w:eastAsia="zh-CN"/>
          <w14:textFill>
            <w14:solidFill>
              <w14:schemeClr w14:val="tx1"/>
            </w14:solidFill>
          </w14:textFill>
        </w:rPr>
        <w:t>各县区政府、园区管委会</w:t>
      </w:r>
      <w:r>
        <w:rPr>
          <w:rFonts w:hint="eastAsia" w:ascii="仿宋" w:hAnsi="仿宋" w:eastAsia="仿宋" w:cs="仿宋"/>
          <w:color w:val="000000" w:themeColor="text1"/>
          <w:sz w:val="32"/>
          <w:szCs w:val="32"/>
          <w14:textFill>
            <w14:solidFill>
              <w14:schemeClr w14:val="tx1"/>
            </w14:solidFill>
          </w14:textFill>
        </w:rPr>
        <w:t>按职责分工负责)</w:t>
      </w:r>
    </w:p>
    <w:p>
      <w:pPr>
        <w:keepNext w:val="0"/>
        <w:keepLines w:val="0"/>
        <w:pageBreakBefore w:val="0"/>
        <w:kinsoku/>
        <w:wordWrap/>
        <w:overflowPunct/>
        <w:topLinePunct w:val="0"/>
        <w:autoSpaceDE/>
        <w:autoSpaceDN/>
        <w:bidi w:val="0"/>
        <w:adjustRightInd/>
        <w:snapToGrid/>
        <w:spacing w:line="240" w:lineRule="auto"/>
        <w:ind w:leftChars="0" w:firstLine="640"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eastAsia="方正仿宋_GBK"/>
          <w:b/>
          <w:bCs/>
          <w:color w:val="000000"/>
          <w:sz w:val="32"/>
          <w:szCs w:val="32"/>
          <w:lang w:val="en-US" w:eastAsia="zh-CN"/>
        </w:rPr>
        <w:t>(二十八)</w:t>
      </w:r>
      <w:r>
        <w:rPr>
          <w:rFonts w:hint="eastAsia" w:eastAsia="方正仿宋_GBK"/>
          <w:b/>
          <w:bCs/>
          <w:color w:val="000000"/>
          <w:sz w:val="32"/>
          <w:szCs w:val="32"/>
          <w:lang w:eastAsia="zh-CN"/>
        </w:rPr>
        <w:t>健全舆论引导和示范引领工作机制。</w:t>
      </w:r>
      <w:r>
        <w:rPr>
          <w:rFonts w:hint="eastAsia" w:ascii="仿宋" w:hAnsi="仿宋" w:eastAsia="仿宋" w:cs="仿宋"/>
          <w:i w:val="0"/>
          <w:caps w:val="0"/>
          <w:color w:val="000000" w:themeColor="text1"/>
          <w:spacing w:val="0"/>
          <w:sz w:val="32"/>
          <w:szCs w:val="32"/>
          <w14:textFill>
            <w14:solidFill>
              <w14:schemeClr w14:val="tx1"/>
            </w14:solidFill>
          </w14:textFill>
        </w:rPr>
        <w:t>加强舆论引导，主动讲好民营企业和企业家故事，在各类评选表彰活动中，平等对待优秀民营企业和企业家</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14:textFill>
            <w14:solidFill>
              <w14:schemeClr w14:val="tx1"/>
            </w14:solidFill>
          </w14:textFill>
        </w:rPr>
        <w:t>在全社会形成关心</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14:textFill>
            <w14:solidFill>
              <w14:schemeClr w14:val="tx1"/>
            </w14:solidFill>
          </w14:textFill>
        </w:rPr>
        <w:t>鼓励、支持民营企业发展的浓厚氛围。</w:t>
      </w:r>
      <w:r>
        <w:rPr>
          <w:rFonts w:hint="eastAsia" w:ascii="仿宋" w:hAnsi="仿宋" w:eastAsia="仿宋" w:cs="仿宋"/>
          <w:b w:val="0"/>
          <w:bCs w:val="0"/>
          <w:i w:val="0"/>
          <w:caps w:val="0"/>
          <w:color w:val="000000" w:themeColor="text1"/>
          <w:spacing w:val="0"/>
          <w:sz w:val="32"/>
          <w:szCs w:val="32"/>
          <w:lang w:eastAsia="zh-CN"/>
          <w14:textFill>
            <w14:solidFill>
              <w14:schemeClr w14:val="tx1"/>
            </w14:solidFill>
          </w14:textFill>
        </w:rPr>
        <w:t>（市委宣传部、市委统战部、</w:t>
      </w:r>
      <w:r>
        <w:rPr>
          <w:rFonts w:hint="eastAsia" w:ascii="仿宋" w:hAnsi="仿宋" w:eastAsia="仿宋" w:cs="仿宋"/>
          <w:b w:val="0"/>
          <w:bCs w:val="0"/>
          <w:color w:val="000000" w:themeColor="text1"/>
          <w:sz w:val="32"/>
          <w:szCs w:val="32"/>
          <w14:textFill>
            <w14:solidFill>
              <w14:schemeClr w14:val="tx1"/>
            </w14:solidFill>
          </w14:textFill>
        </w:rPr>
        <w:t>市发改委</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市经信局、市人社局、市总工会、团市委、市妇联、市工商联等</w:t>
      </w:r>
      <w:r>
        <w:rPr>
          <w:rFonts w:hint="eastAsia" w:ascii="仿宋" w:hAnsi="仿宋" w:eastAsia="仿宋" w:cs="仿宋"/>
          <w:b w:val="0"/>
          <w:bCs w:val="0"/>
          <w:color w:val="000000" w:themeColor="text1"/>
          <w:sz w:val="32"/>
          <w:szCs w:val="32"/>
          <w14:textFill>
            <w14:solidFill>
              <w14:schemeClr w14:val="tx1"/>
            </w14:solidFill>
          </w14:textFill>
        </w:rPr>
        <w:t>单位按职责分工负责）</w:t>
      </w:r>
    </w:p>
    <w:p>
      <w:pPr>
        <w:keepNext w:val="0"/>
        <w:keepLines w:val="0"/>
        <w:pageBreakBefore w:val="0"/>
        <w:kinsoku/>
        <w:wordWrap/>
        <w:overflowPunct/>
        <w:topLinePunct w:val="0"/>
        <w:autoSpaceDE/>
        <w:autoSpaceDN/>
        <w:bidi w:val="0"/>
        <w:adjustRightInd/>
        <w:snapToGrid/>
        <w:spacing w:line="240" w:lineRule="auto"/>
        <w:ind w:leftChars="0" w:firstLine="643" w:firstLineChars="200"/>
        <w:rPr>
          <w:rFonts w:hint="eastAsia" w:ascii="仿宋" w:hAnsi="仿宋" w:eastAsia="仿宋" w:cs="仿宋"/>
          <w:b/>
          <w:bCs/>
          <w:color w:val="000000" w:themeColor="text1"/>
          <w:sz w:val="32"/>
          <w:szCs w:val="32"/>
          <w14:textFill>
            <w14:solidFill>
              <w14:schemeClr w14:val="tx1"/>
            </w14:solidFill>
          </w14:textFill>
        </w:rPr>
      </w:pPr>
    </w:p>
    <w:p>
      <w:pPr>
        <w:pStyle w:val="4"/>
        <w:keepNext w:val="0"/>
        <w:keepLines w:val="0"/>
        <w:pageBreakBefore w:val="0"/>
        <w:widowControl/>
        <w:numPr>
          <w:ilvl w:val="0"/>
          <w:numId w:val="0"/>
        </w:numPr>
        <w:suppressLineNumbers w:val="0"/>
        <w:pBdr>
          <w:bottom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rPr>
          <w:rFonts w:hint="eastAsia" w:ascii="黑体" w:hAnsi="黑体" w:eastAsia="黑体" w:cs="黑体"/>
          <w:b/>
          <w:bCs/>
          <w:color w:val="000000" w:themeColor="text1"/>
          <w:kern w:val="2"/>
          <w:sz w:val="32"/>
          <w:szCs w:val="32"/>
          <w:lang w:val="en-US" w:eastAsia="zh-CN" w:bidi="ar-SA"/>
          <w14:textFill>
            <w14:solidFill>
              <w14:schemeClr w14:val="tx1"/>
            </w14:solidFill>
          </w14:textFill>
        </w:rPr>
      </w:pPr>
    </w:p>
    <w:p>
      <w:pPr>
        <w:pStyle w:val="4"/>
        <w:keepNext w:val="0"/>
        <w:keepLines w:val="0"/>
        <w:pageBreakBefore w:val="0"/>
        <w:widowControl/>
        <w:numPr>
          <w:ilvl w:val="0"/>
          <w:numId w:val="0"/>
        </w:numPr>
        <w:suppressLineNumbers w:val="0"/>
        <w:pBdr>
          <w:bottom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rPr>
          <w:rFonts w:hint="eastAsia" w:ascii="黑体" w:hAnsi="黑体" w:eastAsia="黑体" w:cs="黑体"/>
          <w:b/>
          <w:bCs/>
          <w:color w:val="000000" w:themeColor="text1"/>
          <w:kern w:val="2"/>
          <w:sz w:val="32"/>
          <w:szCs w:val="32"/>
          <w:lang w:val="en-US" w:eastAsia="zh-CN" w:bidi="ar-SA"/>
          <w14:textFill>
            <w14:solidFill>
              <w14:schemeClr w14:val="tx1"/>
            </w14:solidFill>
          </w14:textFill>
        </w:rPr>
      </w:pPr>
    </w:p>
    <w:p>
      <w:pPr>
        <w:pStyle w:val="4"/>
        <w:keepNext w:val="0"/>
        <w:keepLines w:val="0"/>
        <w:pageBreakBefore w:val="0"/>
        <w:widowControl/>
        <w:numPr>
          <w:ilvl w:val="0"/>
          <w:numId w:val="0"/>
        </w:numPr>
        <w:suppressLineNumbers w:val="0"/>
        <w:pBdr>
          <w:bottom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rPr>
          <w:rFonts w:hint="eastAsia" w:ascii="仿宋" w:hAnsi="仿宋" w:eastAsia="仿宋" w:cs="仿宋"/>
          <w:color w:val="000000" w:themeColor="text1"/>
          <w:sz w:val="32"/>
          <w:szCs w:val="32"/>
          <w:shd w:val="clear" w:fill="FFFFFF"/>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leftChars="0" w:firstLine="640" w:firstLineChars="200"/>
        <w:rPr>
          <w:rFonts w:hint="eastAsia" w:ascii="仿宋_GB2312" w:hAnsi="仿宋_GB2312" w:eastAsia="仿宋_GB2312" w:cs="仿宋_GB2312"/>
          <w:b w:val="0"/>
          <w:bCs w:val="0"/>
          <w:i w:val="0"/>
          <w:iCs w:val="0"/>
          <w:sz w:val="32"/>
          <w:szCs w:val="32"/>
          <w:lang w:eastAsia="zh-CN"/>
        </w:rPr>
      </w:pPr>
    </w:p>
    <w:p>
      <w:pPr>
        <w:keepNext w:val="0"/>
        <w:keepLines w:val="0"/>
        <w:pageBreakBefore w:val="0"/>
        <w:kinsoku/>
        <w:wordWrap/>
        <w:overflowPunct/>
        <w:topLinePunct w:val="0"/>
        <w:autoSpaceDE/>
        <w:autoSpaceDN/>
        <w:bidi w:val="0"/>
        <w:adjustRightInd/>
        <w:snapToGrid/>
        <w:spacing w:line="240" w:lineRule="auto"/>
        <w:ind w:leftChars="0" w:firstLine="640" w:firstLineChars="200"/>
        <w:rPr>
          <w:rFonts w:hint="eastAsia" w:ascii="仿宋_GB2312" w:hAnsi="仿宋_GB2312" w:eastAsia="仿宋_GB2312" w:cs="仿宋_GB2312"/>
          <w:b w:val="0"/>
          <w:bCs w:val="0"/>
          <w:i w:val="0"/>
          <w:iCs w:val="0"/>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20487E"/>
    <w:rsid w:val="04BA4A63"/>
    <w:rsid w:val="08B727CE"/>
    <w:rsid w:val="08E76705"/>
    <w:rsid w:val="09E802E1"/>
    <w:rsid w:val="0DCD487F"/>
    <w:rsid w:val="17F21360"/>
    <w:rsid w:val="1B757C8C"/>
    <w:rsid w:val="1E6B08D5"/>
    <w:rsid w:val="293C5DD4"/>
    <w:rsid w:val="36F5766B"/>
    <w:rsid w:val="38456686"/>
    <w:rsid w:val="406F4488"/>
    <w:rsid w:val="40F03A12"/>
    <w:rsid w:val="5820487E"/>
    <w:rsid w:val="59E54230"/>
    <w:rsid w:val="5E2601A6"/>
    <w:rsid w:val="631C4E99"/>
    <w:rsid w:val="7BB6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vanish/>
    </w:rPr>
  </w:style>
  <w:style w:type="character" w:styleId="8">
    <w:name w:val="FollowedHyperlink"/>
    <w:basedOn w:val="6"/>
    <w:qFormat/>
    <w:uiPriority w:val="0"/>
    <w:rPr>
      <w:color w:val="800080"/>
      <w:u w:val="none"/>
    </w:rPr>
  </w:style>
  <w:style w:type="character" w:styleId="9">
    <w:name w:val="HTML Definition"/>
    <w:basedOn w:val="6"/>
    <w:qFormat/>
    <w:uiPriority w:val="0"/>
  </w:style>
  <w:style w:type="character" w:styleId="10">
    <w:name w:val="HTML Acronym"/>
    <w:basedOn w:val="6"/>
    <w:qFormat/>
    <w:uiPriority w:val="0"/>
    <w:rPr>
      <w:vanish/>
    </w:rPr>
  </w:style>
  <w:style w:type="character" w:styleId="11">
    <w:name w:val="HTML Variable"/>
    <w:basedOn w:val="6"/>
    <w:qFormat/>
    <w:uiPriority w:val="0"/>
  </w:style>
  <w:style w:type="character" w:styleId="12">
    <w:name w:val="Hyperlink"/>
    <w:basedOn w:val="6"/>
    <w:qFormat/>
    <w:uiPriority w:val="0"/>
    <w:rPr>
      <w:color w:val="0000FF"/>
      <w:u w:val="none"/>
    </w:rPr>
  </w:style>
  <w:style w:type="character" w:styleId="13">
    <w:name w:val="HTML Code"/>
    <w:basedOn w:val="6"/>
    <w:qFormat/>
    <w:uiPriority w:val="0"/>
    <w:rPr>
      <w:rFonts w:ascii="monospace" w:hAnsi="monospace" w:eastAsia="monospace" w:cs="monospace"/>
      <w:sz w:val="21"/>
      <w:szCs w:val="21"/>
    </w:rPr>
  </w:style>
  <w:style w:type="character" w:styleId="14">
    <w:name w:val="HTML Cite"/>
    <w:basedOn w:val="6"/>
    <w:qFormat/>
    <w:uiPriority w:val="0"/>
  </w:style>
  <w:style w:type="character" w:styleId="15">
    <w:name w:val="HTML Keyboard"/>
    <w:basedOn w:val="6"/>
    <w:qFormat/>
    <w:uiPriority w:val="0"/>
    <w:rPr>
      <w:rFonts w:ascii="monospace" w:hAnsi="monospace" w:eastAsia="monospace" w:cs="monospace"/>
      <w:sz w:val="21"/>
      <w:szCs w:val="21"/>
    </w:rPr>
  </w:style>
  <w:style w:type="character" w:styleId="16">
    <w:name w:val="HTML Sample"/>
    <w:basedOn w:val="6"/>
    <w:qFormat/>
    <w:uiPriority w:val="0"/>
    <w:rPr>
      <w:rFonts w:hint="default" w:ascii="monospace" w:hAnsi="monospace" w:eastAsia="monospace" w:cs="monospace"/>
      <w:sz w:val="21"/>
      <w:szCs w:val="21"/>
    </w:rPr>
  </w:style>
  <w:style w:type="character" w:customStyle="1" w:styleId="17">
    <w:name w:val="post_wemedia_info1"/>
    <w:basedOn w:val="6"/>
    <w:qFormat/>
    <w:uiPriority w:val="0"/>
  </w:style>
  <w:style w:type="character" w:customStyle="1" w:styleId="18">
    <w:name w:val="font"/>
    <w:basedOn w:val="6"/>
    <w:qFormat/>
    <w:uiPriority w:val="0"/>
  </w:style>
  <w:style w:type="character" w:customStyle="1" w:styleId="19">
    <w:name w:val="font1"/>
    <w:basedOn w:val="6"/>
    <w:qFormat/>
    <w:uiPriority w:val="0"/>
  </w:style>
  <w:style w:type="character" w:customStyle="1" w:styleId="20">
    <w:name w:val="noline"/>
    <w:basedOn w:val="6"/>
    <w:qFormat/>
    <w:uiPriority w:val="0"/>
  </w:style>
  <w:style w:type="character" w:customStyle="1" w:styleId="21">
    <w:name w:val="laypage_curr"/>
    <w:basedOn w:val="6"/>
    <w:qFormat/>
    <w:uiPriority w:val="0"/>
    <w:rPr>
      <w:color w:val="FFFDF4"/>
      <w:shd w:val="clear" w:fill="0B67A6"/>
    </w:rPr>
  </w:style>
  <w:style w:type="character" w:customStyle="1" w:styleId="22">
    <w:name w:val="place"/>
    <w:basedOn w:val="6"/>
    <w:qFormat/>
    <w:uiPriority w:val="0"/>
    <w:rPr>
      <w:rFonts w:ascii="微软雅黑" w:hAnsi="微软雅黑" w:eastAsia="微软雅黑" w:cs="微软雅黑"/>
      <w:color w:val="888888"/>
      <w:sz w:val="20"/>
      <w:szCs w:val="20"/>
    </w:rPr>
  </w:style>
  <w:style w:type="character" w:customStyle="1" w:styleId="23">
    <w:name w:val="place1"/>
    <w:basedOn w:val="6"/>
    <w:qFormat/>
    <w:uiPriority w:val="0"/>
  </w:style>
  <w:style w:type="character" w:customStyle="1" w:styleId="24">
    <w:name w:val="place2"/>
    <w:basedOn w:val="6"/>
    <w:qFormat/>
    <w:uiPriority w:val="0"/>
  </w:style>
  <w:style w:type="character" w:customStyle="1" w:styleId="25">
    <w:name w:val="place3"/>
    <w:basedOn w:val="6"/>
    <w:qFormat/>
    <w:uiPriority w:val="0"/>
  </w:style>
  <w:style w:type="character" w:customStyle="1" w:styleId="26">
    <w:name w:val="hover16"/>
    <w:basedOn w:val="6"/>
    <w:qFormat/>
    <w:uiPriority w:val="0"/>
    <w:rPr>
      <w:color w:val="025291"/>
    </w:rPr>
  </w:style>
  <w:style w:type="character" w:customStyle="1" w:styleId="27">
    <w:name w:val="hover15"/>
    <w:basedOn w:val="6"/>
    <w:qFormat/>
    <w:uiPriority w:val="0"/>
    <w:rPr>
      <w:color w:val="025291"/>
    </w:rPr>
  </w:style>
  <w:style w:type="character" w:customStyle="1" w:styleId="28">
    <w:name w:val="hover13"/>
    <w:basedOn w:val="6"/>
    <w:qFormat/>
    <w:uiPriority w:val="0"/>
    <w:rPr>
      <w:color w:val="025291"/>
    </w:rPr>
  </w:style>
  <w:style w:type="character" w:customStyle="1" w:styleId="29">
    <w:name w:val="buvis"/>
    <w:basedOn w:val="6"/>
    <w:qFormat/>
    <w:uiPriority w:val="0"/>
    <w:rPr>
      <w:color w:val="999999"/>
    </w:rPr>
  </w:style>
  <w:style w:type="character" w:customStyle="1" w:styleId="30">
    <w:name w:val="buvis1"/>
    <w:basedOn w:val="6"/>
    <w:qFormat/>
    <w:uiPriority w:val="0"/>
    <w:rPr>
      <w:color w:val="CC0000"/>
    </w:rPr>
  </w:style>
  <w:style w:type="character" w:customStyle="1" w:styleId="31">
    <w:name w:val="datetime"/>
    <w:basedOn w:val="6"/>
    <w:qFormat/>
    <w:uiPriority w:val="0"/>
    <w:rPr>
      <w:rFonts w:hint="default" w:ascii="Arial" w:hAnsi="Arial" w:cs="Arial"/>
      <w:color w:val="999999"/>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2021-01-07T06:53:00Z</dcterms:created>
  <dc:creator>lenovo</dc:creator>
  <cp:lastModifiedBy>Administrator</cp:lastModifiedBy>
  <cp:lastPrinted>2021-01-18T06:40:00Z</cp:lastPrinted>
  <dcterms:modified xsi:type="dcterms:W3CDTF">2022-03-25T07:34:03Z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